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00" w:line="240"/>
      </w:pPr>
      <w:r>
        <w:rPr>
          <w:rFonts w:ascii="Times New Roman" w:hAnsi="Times New Roman" w:eastAsia="Times New Roman"/>
          <w:sz w:val="22"/>
        </w:rPr>
        <w:t xml:space="preserve">СОГЛАСОВАНО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Заказчик (НИО заказчика)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Исполнитель СЧ ОКР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Головной исполнитель ОКР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должность: [уточнить]
подпись: [уточнить]
«___» ________ 20__ г.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ООО «тушканчик»
подпись: [уточнить]
«___» ________ 20__ г.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должность: [уточнить]
подпись: [уточнить]
«___» ________ 20__ г.</w:t>
            </w:r>
          </w:p>
        </w:tc>
      </w:tr>
    </w:tbl>
    <w:p/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СОГЛАСОВАНО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Исполнитель СЧ ОКР — ООО «тушканчик»
подпись, инициалы, фамилия: [уточнить]
«___» ________ 20__ г.</w:t>
            </w:r>
          </w:p>
        </w:tc>
      </w:tr>
    </w:tbl>
    <w:p/>
    <w:p>
      <w:pPr>
        <w:jc w:val="center"/>
        <w:spacing w:after="100" w:line="240"/>
      </w:pPr>
      <w:r>
        <w:rPr>
          <w:rFonts w:ascii="Times New Roman" w:hAnsi="Times New Roman" w:eastAsia="Times New Roman"/>
          <w:sz w:val="32"/>
          <w:b/>
        </w:rPr>
        <w:t xml:space="preserve">ТЕХНИЧЕСКОЕ ЗАДАНИЕ</w:t>
      </w:r>
    </w:p>
    <w:p>
      <w:pPr>
        <w:jc w:val="center"/>
        <w:spacing w:after="100" w:line="240"/>
      </w:pPr>
      <w:r>
        <w:rPr>
          <w:rFonts w:ascii="Times New Roman" w:hAnsi="Times New Roman" w:eastAsia="Times New Roman"/>
          <w:sz w:val="32"/>
          <w:b/>
        </w:rPr>
        <w:t xml:space="preserve">НА СОСТАВНУЮ ЧАСТЬ ОПЫТНО-КОНСТРУКТОРСКОЙ РАБОТЫ</w:t>
      </w:r>
    </w:p>
    <w:p>
      <w:pPr>
        <w:jc w:val="center"/>
        <w:spacing w:after="100" w:line="240"/>
      </w:pPr>
      <w:r>
        <w:rPr>
          <w:rFonts w:ascii="Times New Roman" w:hAnsi="Times New Roman" w:eastAsia="Times New Roman"/>
          <w:sz w:val="22"/>
        </w:rPr>
        <w:t xml:space="preserve">Разработка сменной интерфейсной субплаты E2/E3 и функционального модуля PDH для универсального базового модуля AMC семейства ДММП</w:t>
      </w:r>
    </w:p>
    <w:p>
      <w:pPr>
        <w:jc w:val="center"/>
        <w:spacing w:after="100" w:line="240"/>
      </w:pPr>
      <w:r>
        <w:rPr>
          <w:rFonts w:ascii="Times New Roman" w:hAnsi="Times New Roman" w:eastAsia="Times New Roman"/>
          <w:sz w:val="22"/>
        </w:rPr>
        <w:t xml:space="preserve">Шифр ОКР: «Развитие-ТСА»</w:t>
      </w:r>
    </w:p>
    <w:p>
      <w:pPr>
        <w:jc w:val="center"/>
        <w:spacing w:after="100" w:line="240"/>
      </w:pPr>
      <w:r>
        <w:rPr>
          <w:rFonts w:ascii="Times New Roman" w:hAnsi="Times New Roman" w:eastAsia="Times New Roman"/>
          <w:sz w:val="22"/>
        </w:rPr>
        <w:t xml:space="preserve">Обозначение составной части изделия: [уточнить]</w:t>
      </w:r>
    </w:p>
    <w:p>
      <w:pPr>
        <w:jc w:val="center"/>
        <w:spacing w:after="100" w:line="240"/>
      </w:pPr>
      <w:r>
        <w:rPr>
          <w:rFonts w:ascii="Times New Roman" w:hAnsi="Times New Roman" w:eastAsia="Times New Roman"/>
          <w:sz w:val="22"/>
        </w:rPr>
        <w:t xml:space="preserve">Регистрационный номер: [уточнить]</w:t>
      </w:r>
    </w:p>
    <w:p>
      <w:pPr>
        <w:jc w:val="center"/>
        <w:spacing w:after="100" w:line="240"/>
      </w:pPr>
      <w:r>
        <w:rPr>
          <w:rFonts w:ascii="Times New Roman" w:hAnsi="Times New Roman" w:eastAsia="Times New Roman"/>
          <w:sz w:val="22"/>
        </w:rPr>
        <w:t xml:space="preserve">Действует с дополнением: [уточнить]</w:t>
      </w:r>
    </w:p>
    <w:p>
      <w:r>
        <w:br w:type="page"/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ЛИСТ СОГЛАСОВАНИЯ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Настоящий лист является частью ТЗ на составную часть ОКР «Развитие-ТСА». Согласование выполняется по ГОСТ 15.016-2016, раздел 7.2.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Организация / сторона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Должность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ФИО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Подпись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Дата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Заказчик (НИО заказчика)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Исполнитель СЧ ОКР — ООО «тушканчик»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Головной исполнитель ОКР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Другие согласующие организации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</w:tr>
    </w:tbl>
    <w:p/>
    <w:p>
      <w:pPr>
        <w:jc w:val="both"/>
        <w:spacing w:after="100" w:line="240"/>
      </w:pPr>
      <w:r>
        <w:rPr>
          <w:rFonts w:ascii="Times New Roman" w:hAnsi="Times New Roman" w:eastAsia="Times New Roman"/>
          <w:sz w:val="22"/>
          <w:i/>
        </w:rPr>
        <w:t xml:space="preserve">Примечание — конкретный состав согласующих организаций и должностных лиц не задан и подлежит уточнению.</w:t>
      </w:r>
    </w:p>
    <w:p>
      <w:r>
        <w:br w:type="page"/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ОБОЗНАЧЕНИЯ, ТЕРМИНЫ И СОКРАЩЕНИЯ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Обозначение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Расшифровка / значение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AMC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Обозначение платформы/форм-фактора изделия; полная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ПЛИС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Программируемая логическая интегральная схема.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B2B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Межплатный интерфейс; полная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Board ID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Идентификатор платы; значение 0x03.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MMC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Интерфейс управления базовой платы; полная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РМО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Рабочее место оператора.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ОКР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Опытно-конструкторская работа.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РКД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Рабочая конструкторская документация.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ПМИ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Программа и методика испытаний.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PDH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Обозначение функционального модуля; полная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E2, E3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Обозначения потоков/портов изделия.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E2oP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Пакетная передача потока E2 на архитектуре SAToP;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SAToP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Способ передачи полного потока;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TX/RX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Направления передачи и приема; расшифровки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LIU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Линейный интерфейсный блок;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TCLK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Сигнал тактирования 19,44 МГц.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ACR/DCR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Режимы тактирования; расшифровки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LOS/AIS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Аварийные состояния; расшифровки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BPV/CV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Контролируемые нарушения/счетчики HDB3; расшифровки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PRBS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Псевдослучайная двоичная последовательность; 2^23−1.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BER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Коэффициент ошибок по битам;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QoS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Обслуживание с заданным качеством; Strict Priority.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EEPROM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Энергонезависимая память;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Flash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Флэш-память для bitstream.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HDB3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Линейный код;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BNC, DIN 1.0/2.3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Типы коаксиальных соединителей.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ESD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Защита от электростатического разряда; расшифровка [уточнить].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MTBF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Средняя наработка на отказ; не менее 15 000 ч.</w:t>
            </w:r>
          </w:p>
        </w:tc>
      </w:tr>
    </w:tbl>
    <w:p/>
    <w:p>
      <w:r>
        <w:br w:type="page"/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ПЕРЕЧЕНЬ ПРИМЕНИМЫХ НОРМАТИВНЫХ И СПРАВОЧНЫХ ДОКУМЕНТОВ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ГОСТ 15.016-2016 «Система разработки и постановки продукции на производство. Техническое задание. Требования к содержанию и оформлению».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ITU-T G.703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ITU-T G.704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ITU-T G.751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ITU-T G.823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RFC 4553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PICMG AMC.0 R2.0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ГОСТ РВ 20.39.304-98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ГОСТ В 25803-91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ГОСТ 2.114-2016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ГОСТ РВ 15.201-2003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ГОСТ 15150</w:t>
      </w:r>
    </w:p>
    <w:p>
      <w:pPr>
        <w:jc w:val="both"/>
        <w:spacing w:after="100" w:line="240"/>
      </w:pPr>
      <w:r>
        <w:rPr>
          <w:rFonts w:ascii="Times New Roman" w:hAnsi="Times New Roman" w:eastAsia="Times New Roman"/>
          <w:sz w:val="22"/>
          <w:i/>
        </w:rPr>
        <w:t xml:space="preserve">Издание/редакция документов, кроме ГОСТ 15.016-2016, в исходных данных не задана: [уточнить].</w:t>
      </w:r>
    </w:p>
    <w:p>
      <w:r>
        <w:br w:type="page"/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1 Наименование, шифр, основание, исполнители и сроки ОКР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1.1 Наименование составной части ОКР — сменная интерфейсная субплата E2/E3 и функциональный модуль PDH для универсального базового модуля AMC семейства ДММП.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1.2 Шифр ОКР — «Развитие-ТСА».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1.3 Основание — приказ об открытии инициативной ОКР № [уточнить] от [уточнить].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1.4 Исполнитель — ООО «тушканчик» (условное наименование из исходных данных).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1.5 Сроки устанавливаются утверждённым планом-графиком разработки РКД, программной документации, изготовления образцов и испытаний. Календарные даты: [уточнить].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1.6 Сроки СЧ ОКР должны быть увязаны со сроками выполнения ОКР «Развитие-ТСА».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2 Цель выполнения, наименование, назначение и область применения изделия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2.1 Цель — разработать субплату E2/E3 и функциональный модуль PDH для подключения к платформе ДММП двух независимых потоков E2 и одного потока E3 через коаксиальные линии, с обеспечением TDM-over-Packet, джиттер-буферизации и синхронизации.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2.2 Область применения — PDH-тракты 8 и 34 Мбит/с энергетики, железнодорожного транспорта и магистральных операторов.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2.3 Субплата устанавливается в AMC базовой платы Carrier платформы ДММП. Аппаратная часть включает субплату, интерфейсы, защиту, трансиверы и EEPROM. Логическая часть включает функциональный модуль ПЛИС базовой платы, автоматически активируемый по Board ID.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3 Технические требования к изделию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3.1 Архитектура, разъёмы и кабели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Субплата должна подключаться через B2B и иметь 3 экранированных вибростойких разъёма HARTING PushPull 09452812560 с замковой фиксацией.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Тракты должны иметь сопротивление 75 Ом, ВЧ-трансформаторы, LIU, EEPROM с Board ID 0x03 и светодиоды.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Базовая плата должна предоставлять +12 В/+3,3 В, MMC и тактирование, а также автоматически загружать bitstream PDH из Flash.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Порты E2-1, E2-2 и E3-1 должны обслуживаться отдельными TX/RX коаксиальными цепями 75 Ом.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В комплект и РКД должны входить экранированные адаптеры HARTING PushPull → две вилки BNC 75 Ом / DIN 1.0/2.3 с маркировкой TX/RX.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Применение BNC 50 Ом запрещается по импедансу и габаритам.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3.2 Электрические параметры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Параметр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E2 (два порта)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E3 (один порт)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Скорость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8448 кбит/с (8,448 Мбит/с) ±30 ppm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34 368 кбит/с (34,368 Мбит/с) ±20 ppm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Код и сопротивление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HDB3, 75 Ом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HDB3, 75 Ом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Пиковое напряжение / длительность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2,37 В / 59 нс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1,0 В / 14,55 нс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Возвратные потери входа/выхода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≥18 дБ, 422–8448 кГц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≥18 дБ, 1720–34 368 кГц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Допустимое затухание кабеля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до 6 дБ на 4224 кГц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до 12 дБ на 17 184 кГц</w:t>
            </w:r>
          </w:p>
        </w:tc>
      </w:tr>
    </w:tbl>
    <w:p/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Для каждого порта должна быть предусмотрена трансформаторная гальваноразвязка и импульсная защита.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Структура E2 должна соответствовать G.704, структура E3 — G.751, электрические параметры — G.703.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3.3 Пакетная передача, синхронизация и диагностика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E3 должен передаваться по SAToP согласно RFC 4553 как полный поток с управляющим словом и контролем последовательности.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E2 должен передаваться как E2oP на архитектуре SAToP как полный поток с минимальной фиксированной задержкой.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Обмен должен выполняться по Fabric 10GbE с Strict Priority QoS. Джиттер-буфер каждого сервиса должен иметь диапазон 1–64 мс.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Потеря пакетов или авария сети должны вызывать непрерывный AIS на выходе.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Должен выполняться пересчёт TCLK 19,44 МГц в 8,448/34,368 МГц с режимами ACR/DCR, Holdover и Loop timing.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Частота любого входного порта должна выдаваться в RX_CLK; ПЛИС/DPLL базовой платы должна преобразовывать её в 19,44 МГц для TCLK. Джиттер и вандер должны соответствовать G.823.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Для каждого порта должны контролироваться LOS, AIS, BPV/CV HDB3, переполнение и опустошение буфера.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Для каждого порта должны быть Local Line, Payload и Packet Loopback.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Должны быть генератор и анализатор PRBS 2^23−1 для измерения BER.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3.4 Требования к мощности, конструкции, стойкости и сроку службы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Мощность субплаты должна быть не более 15 Вт; мощность сборки — не более 35 Вт.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Конструкция — Single Full-size AMC.0, габариты 73,5 × 180,6 × 28,95 мм.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Межплатное крепление — на 4–6 металлических стойках М2,5.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Стойкость — по ГОСТ РВ 20.39.304-98 для групп 1.1, 1.3, 1.4.1, исполнение «О».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Рабочая температура — −10…+50 °C; предельная — −40…+65 °C.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Синусоидальная вибрация — 5g; удары — 15g.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Радиопомехи — группа 1.1.1 ГОСТ В 25803-91.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MTBF — не менее 15 000 ч; назначенный срок службы — не менее 5 лет.</w:t>
      </w:r>
    </w:p>
    <w:p>
      <w:pPr>
        <w:jc w:val="both"/>
        <w:spacing w:after="100" w:line="240"/>
      </w:pPr>
      <w:r>
        <w:rPr>
          <w:rFonts w:ascii="Times New Roman" w:hAnsi="Times New Roman" w:eastAsia="Times New Roman"/>
          <w:sz w:val="22"/>
          <w:i/>
        </w:rPr>
        <w:t xml:space="preserve">3.5 Проверка раздела 3 выполняется инспекцией РКД, измерением электрических параметров, испытаниями пакетной передачи/синхронизации, проверкой диагностики и безопасных режимов. Конкретные средства, допуски измерений и последовательность ПМИ, не заданные ТЗ, подлежат уточнению: [уточнить].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4 Технико-экономические требования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Требования не предъявляются.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5 Требования к видам обеспечения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5.1 Нормативное обеспечение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Применять документы из перечня нормативных и справочных документов в относящейся к изделию части. РКД, ПМИ и программная документация должны учитывать применимые требования этих документов.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5.2 Метрологическое обеспечение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Предусмотреть средства и методики измерения формы и амплитуды импульсов по G.703.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Предусмотреть измерение возвратных потерь 75 Ом, джиттера по G.823 и BER.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Допуски измерений, длительность, периодичность и состав средств измерений не заданы: [уточнить].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5.3 Диагностическое обеспечение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Обеспечить регистрацию LOS/AIS и BPV.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Обеспечить формирование сообщений и отчётов для РМО.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Формат сообщений и состав полей не заданы: [уточнить].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5.4 Программное обеспечение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Разработать bitstream функционального модуля для Flash базовой платы.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Разработать драйверы Linux и MIB для РМО.</w:t>
      </w:r>
    </w:p>
    <w:p>
      <w:pPr>
        <w:jc w:val="both"/>
        <w:spacing w:after="50" w:line="240"/>
      </w:pPr>
      <w:r>
        <w:rPr>
          <w:rFonts w:ascii="Times New Roman" w:hAnsi="Times New Roman" w:eastAsia="Times New Roman"/>
          <w:sz w:val="22"/>
        </w:rPr>
        <w:t xml:space="preserve">• Способы поставки и версии не заданы: [уточнить].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6 Требования к сырью, материалам и комплектующим изделиям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Предусмотреть приоритет отечественных материалов и комплектующих с приёмкой ОТК.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При отсутствии аналогов разрешить импортную ЭКБ промышленного температурного диапазона.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7 Требования к консервации, упаковке и маркировке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Предусмотреть децимальный и серийный номера, ревизию и маркировку E2-1, E2-2, E3-1.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Предусмотреть индивидуальную тару с ESD-защитой.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Хранение в заводской таре — не менее 1 года по ГОСТ 15150.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Незаданные условия консервации не дополнять; подлежат уточнению в РКД: [уточнить].</w:t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8 Специальные требования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Предусмотреть телеметрию РМО (C++/Qt): мнемосхема портов, LOS/AIS, BPV, SAToP/E2oP и источник тактирования.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Предусмотреть команды включения/отключения передатчиков, настройки джиттер-буфера, петель и PRBS.</w:t>
      </w:r>
    </w:p>
    <w:p>
      <w:pPr>
        <w:jc w:val="both"/>
        <w:ind w:firstLine="567"/>
        <w:spacing w:after="100" w:line="240"/>
      </w:pPr>
      <w:r>
        <w:rPr>
          <w:rFonts w:ascii="Times New Roman" w:hAnsi="Times New Roman" w:eastAsia="Times New Roman"/>
          <w:sz w:val="22"/>
        </w:rPr>
        <w:t xml:space="preserve">Перечень кодов команд, формат телеметрии и критерии времени реакции не заданы: [уточнить].</w:t>
      </w:r>
    </w:p>
    <w:p>
      <w:r>
        <w:br w:type="page"/>
      </w:r>
    </w:p>
    <w:p>
      <w:pPr>
        <w:jc w:val="center"/>
        <w:spacing w:after="140" w:line="240"/>
      </w:pPr>
      <w:r>
        <w:rPr>
          <w:rFonts w:ascii="Times New Roman" w:hAnsi="Times New Roman" w:eastAsia="Times New Roman"/>
          <w:sz w:val="32"/>
          <w:b/>
        </w:rPr>
        <w:t xml:space="preserve">ПОДПИСИ РАЗРАБОТЧИКОВ И СОГЛАСУЮЩИХ ЛИЦ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Роль / организация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Должность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Подпись, инициалы, фамилия</w:t>
            </w:r>
          </w:p>
        </w:tc>
        <w:tc>
          <w:tcPr>
            <w:tcW w:w="2400" w:type="dxa"/>
          </w:tcPr>
          <w:p>
            <w:pPr>
              <w:jc w:val="center"/>
              <w:spacing w:after="0" w:line="240"/>
            </w:pPr>
            <w:r>
              <w:rPr>
                <w:rFonts w:ascii="Times New Roman" w:hAnsi="Times New Roman" w:eastAsia="Times New Roman"/>
                <w:sz w:val="32"/>
                <w:b/>
              </w:rPr>
              <w:t xml:space="preserve">Дата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Разработчик ТЗ — ООО «тушканчик»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Заказчик (НИО заказчика)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Головной исполнитель ОКР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</w:tr>
      <w:tr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Другие согласующие организации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  <w:tc>
          <w:tcPr>
            <w:tcW w:w="2400" w:type="dxa"/>
          </w:tcPr>
          <w:p>
            <w:pPr>
              <w:jc w:val="both"/>
              <w:spacing w:after="0" w:line="240"/>
            </w:pPr>
            <w:r>
              <w:rPr>
                <w:rFonts w:ascii="Times New Roman" w:hAnsi="Times New Roman" w:eastAsia="Times New Roman"/>
                <w:sz w:val="22"/>
              </w:rPr>
              <w:t xml:space="preserve">[уточнить]</w:t>
            </w:r>
          </w:p>
        </w:tc>
      </w:tr>
    </w:tbl>
    <w:p/>
    <w:p>
      <w:pPr>
        <w:jc w:val="both"/>
        <w:spacing w:after="100" w:line="240"/>
      </w:pPr>
      <w:r>
        <w:rPr>
          <w:rFonts w:ascii="Times New Roman" w:hAnsi="Times New Roman" w:eastAsia="Times New Roman"/>
          <w:sz w:val="22"/>
          <w:i/>
        </w:rPr>
        <w:t xml:space="preserve">Примечание — лист предназначен для подписей после согласования ТЗ; незаданные реквизиты отмечены [уточнить].</w:t>
      </w:r>
    </w:p>
    <w:sectPr>
      <w:pgSz w:w="11906" w:h="16838"/>
      <w:pgMar w:top="1134" w:right="850" w:bottom="1134" w:left="1417"/>
    </w:sectPr>
  </w:body>
</w:document>
</file>

<file path=docProps/core.xml><?xml version="1.0" encoding="utf-8"?>
<cp:coreProperties xmlns:cp="http://schemas.openxmlformats.org/package/2006/metadata/core-properties">
  <dc:title xmlns:dc="http://purl.org/dc/elements/1.1/">Техническое задание на составную часть ОКР «Развитие-ТСА»</dc:title>
  <dc:creator xmlns:dc="http://purl.org/dc/elements/1.1/">ООО «тушканчик»</dc:creator>
</cp:coreProperties>
</file>