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СОГЛАСОВАНО</w:t>
              <w:br/>
              <w:t xml:space="preserve"/>
              <w:br/>
              <w:t xml:space="preserve">[должность, заказчик / НИО заказчика — уточнить]</w:t>
              <w:br/>
              <w:t xml:space="preserve"/>
              <w:br/>
              <w:t xml:space="preserve">__________ [инициалы, фамилия — уточнить]</w:t>
              <w:br/>
              <w:t xml:space="preserve">«___» __________ 20__ г.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СОГЛАСОВАНО</w:t>
              <w:br/>
              <w:t xml:space="preserve"/>
              <w:br/>
              <w:t xml:space="preserve">[должность, исполнитель составной части ОКР — уточнить]</w:t>
              <w:br/>
              <w:t xml:space="preserve"/>
              <w:br/>
              <w:t xml:space="preserve">__________ [инициалы, фамилия — уточнить]</w:t>
              <w:br/>
              <w:t xml:space="preserve">«___» __________ 20__ г.</w:t>
            </w:r>
          </w:p>
        </w:tc>
        <w:tc>
          <w:tcPr>
            <w:tcW w:w="0" w:type="auto"/>
          </w:tcPr>
          <w:p>
            <w:pPr>
              <w:jc w:val="center"/>
            </w:pPr>
            <w:r>
              <w:rPr>
                <w:b/>
              </w:rPr>
              <w:t xml:space="preserve">УТВЕРЖДАЮ</w:t>
              <w:br/>
              <w:t xml:space="preserve"/>
              <w:br/>
              <w:t xml:space="preserve">[должность, головной исполнитель ОКР — уточнить]</w:t>
              <w:br/>
              <w:t xml:space="preserve"/>
              <w:br/>
              <w:t xml:space="preserve">__________ [инициалы, фамилия — уточнить]</w:t>
              <w:br/>
              <w:t xml:space="preserve">«___» __________ 20__ г.</w:t>
            </w:r>
          </w:p>
        </w:tc>
      </w:tr>
    </w:tbl>
    <w:p>
      <w:pPr/>
      <w:r>
        <w:rPr/>
        <w:t xml:space="preserve"/>
        <w:br/>
        <w:t xml:space="preserve"/>
      </w:r>
    </w:p>
    <w:p>
      <w:pPr>
        <w:pStyle w:val="Title"/>
        <w:jc w:val="center"/>
      </w:pPr>
      <w:r>
        <w:rPr>
          <w:b/>
        </w:rPr>
        <w:t xml:space="preserve">ТЕХНИЧЕСКОЕ ЗАДАНИЕ</w:t>
      </w:r>
    </w:p>
    <w:p>
      <w:pPr>
        <w:jc w:val="center"/>
      </w:pPr>
      <w:r>
        <w:rPr>
          <w:b/>
        </w:rPr>
        <w:t xml:space="preserve">НА СОСТАВНУЮ ЧАСТЬ ОПЫТНО-КОНСТРУКТОРСКОЙ РАБОТЫ</w:t>
      </w:r>
    </w:p>
    <w:p>
      <w:pPr>
        <w:jc w:val="center"/>
      </w:pPr>
      <w:r>
        <w:rPr>
          <w:b/>
        </w:rPr>
        <w:t xml:space="preserve">«Развитие-ТСА»</w:t>
      </w:r>
    </w:p>
    <w:p>
      <w:pPr>
        <w:jc w:val="center"/>
      </w:pPr>
      <w:r>
        <w:rPr/>
        <w:t xml:space="preserve"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jc w:val="center"/>
      </w:pPr>
      <w:r>
        <w:rPr/>
        <w:t xml:space="preserve">Обозначение составной части изделия: [уточнить]</w:t>
      </w:r>
    </w:p>
    <w:p>
      <w:pPr>
        <w:jc w:val="center"/>
      </w:pPr>
      <w:r>
        <w:rPr/>
        <w:t xml:space="preserve">Регистрационный номер: [уточнить]</w:t>
      </w:r>
    </w:p>
    <w:p>
      <w:pPr/>
      <w:r>
        <w:rPr/>
        <w:t xml:space="preserve"/>
        <w:br/>
        <w:t xml:space="preserve"/>
        <w:br/>
        <w:t xml:space="preserve"/>
      </w:r>
    </w:p>
    <w:p>
      <w:pPr>
        <w:jc w:val="center"/>
      </w:pPr>
      <w:r>
        <w:rPr/>
        <w:t xml:space="preserve">[место составления — уточнить]</w:t>
      </w:r>
    </w:p>
    <w:p>
      <w:pPr>
        <w:jc w:val="center"/>
      </w:pPr>
      <w:r>
        <w:rPr/>
        <w:t xml:space="preserve">20__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 xml:space="preserve">ЛИСТ СОГЛАСОВАНИЯ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Организация и роль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Инициалы, фамилия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Заказчик / НИО заказчика — 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Головной исполнитель ОКР — 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Исполнитель составной части ОКР — ООО «тушканчик»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Другие согласующие организации — [уточнить необходимость и состав]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</w:tbl>
    <w:p>
      <w:pPr/>
    </w:p>
    <w:p>
      <w:pPr/>
      <w:r>
        <w:rPr>
          <w:i/>
        </w:rPr>
        <w:t xml:space="preserve">Примечание — ФИО, должности, подписи и даты в исходных данных отсутствуют и подлежат заполнению уполномоченными организациями до утверждения ТЗ.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 xml:space="preserve">ПЕРЕЧЕНЬ ОБОЗНАЧЕНИЙ, СОКРАЩЕНИЙ И ТЕРМИНОВ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Обозначение / термин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Определение в пределах настоящего ТЗ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ACR</w:t>
            </w:r>
          </w:p>
        </w:tc>
        <w:tc>
          <w:tcPr>
            <w:tcW w:w="0" w:type="auto"/>
          </w:tcPr>
          <w:p>
            <w:pPr/>
            <w:r>
              <w:rPr/>
              <w:t xml:space="preserve">механизм восстановления тактовой частоты; официальная расшифровка в исходных данных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AIS</w:t>
            </w:r>
          </w:p>
        </w:tc>
        <w:tc>
          <w:tcPr>
            <w:tcW w:w="0" w:type="auto"/>
          </w:tcPr>
          <w:p>
            <w:pPr/>
            <w:r>
              <w:rPr/>
              <w:t xml:space="preserve">аварийный сигнал, формируемый непрерывно на выходе при потере пакетов или аварии сети;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AMC</w:t>
            </w:r>
          </w:p>
        </w:tc>
        <w:tc>
          <w:tcPr>
            <w:tcW w:w="0" w:type="auto"/>
          </w:tcPr>
          <w:p>
            <w:pPr/>
            <w:r>
              <w:rPr/>
              <w:t xml:space="preserve">универсальный базовый модуль, устанавливаемый на Carrier платформы ДММП;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B2B</w:t>
            </w:r>
          </w:p>
        </w:tc>
        <w:tc>
          <w:tcPr>
            <w:tcW w:w="0" w:type="auto"/>
          </w:tcPr>
          <w:p>
            <w:pPr/>
            <w:r>
              <w:rPr/>
              <w:t xml:space="preserve">межплатное соединение субплаты с базовой платой;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BER</w:t>
            </w:r>
          </w:p>
        </w:tc>
        <w:tc>
          <w:tcPr>
            <w:tcW w:w="0" w:type="auto"/>
          </w:tcPr>
          <w:p>
            <w:pPr/>
            <w:r>
              <w:rPr/>
              <w:t xml:space="preserve">показатель, измеряемый генератором/анализатором PRBS;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Board ID</w:t>
            </w:r>
          </w:p>
        </w:tc>
        <w:tc>
          <w:tcPr>
            <w:tcW w:w="0" w:type="auto"/>
          </w:tcPr>
          <w:p>
            <w:pPr/>
            <w:r>
              <w:rPr/>
              <w:t xml:space="preserve">идентификатор субплаты в EEPROM; для изделия установлен 0x03.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BPV/CV HDB3</w:t>
            </w:r>
          </w:p>
        </w:tc>
        <w:tc>
          <w:tcPr>
            <w:tcW w:w="0" w:type="auto"/>
          </w:tcPr>
          <w:p>
            <w:pPr/>
            <w:r>
              <w:rPr/>
              <w:t xml:space="preserve">контролируемые нарушения кода HDB3; официальные расшифровки BPV и CV не приведены.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DCR</w:t>
            </w:r>
          </w:p>
        </w:tc>
        <w:tc>
          <w:tcPr>
            <w:tcW w:w="0" w:type="auto"/>
          </w:tcPr>
          <w:p>
            <w:pPr/>
            <w:r>
              <w:rPr/>
              <w:t xml:space="preserve">механизм восстановления тактовой частоты;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DPLL</w:t>
            </w:r>
          </w:p>
        </w:tc>
        <w:tc>
          <w:tcPr>
            <w:tcW w:w="0" w:type="auto"/>
          </w:tcPr>
          <w:p>
            <w:pPr/>
            <w:r>
              <w:rPr/>
              <w:t xml:space="preserve">узел базовой платы, преобразующий RX_CLK в 19,44 МГц для TCLK;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E2oP</w:t>
            </w:r>
          </w:p>
        </w:tc>
        <w:tc>
          <w:tcPr>
            <w:tcW w:w="0" w:type="auto"/>
          </w:tcPr>
          <w:p>
            <w:pPr/>
            <w:r>
              <w:rPr/>
              <w:t xml:space="preserve">передача полного потока E2 поверх пакетной сети на архитектуре SAToP;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EEPROM</w:t>
            </w:r>
          </w:p>
        </w:tc>
        <w:tc>
          <w:tcPr>
            <w:tcW w:w="0" w:type="auto"/>
          </w:tcPr>
          <w:p>
            <w:pPr/>
            <w:r>
              <w:rPr/>
              <w:t xml:space="preserve">память субплаты, содержащая Board ID 0x03;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ESD</w:t>
            </w:r>
          </w:p>
        </w:tc>
        <w:tc>
          <w:tcPr>
            <w:tcW w:w="0" w:type="auto"/>
          </w:tcPr>
          <w:p>
            <w:pPr/>
            <w:r>
              <w:rPr/>
              <w:t xml:space="preserve">защита индивидуальной тары от электростатических воздействий;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HDB3</w:t>
            </w:r>
          </w:p>
        </w:tc>
        <w:tc>
          <w:tcPr>
            <w:tcW w:w="0" w:type="auto"/>
          </w:tcPr>
          <w:p>
            <w:pPr/>
            <w:r>
              <w:rPr/>
              <w:t xml:space="preserve">линейный код портов E2 и E3;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LIU</w:t>
            </w:r>
          </w:p>
        </w:tc>
        <w:tc>
          <w:tcPr>
            <w:tcW w:w="0" w:type="auto"/>
          </w:tcPr>
          <w:p>
            <w:pPr/>
            <w:r>
              <w:rPr/>
              <w:t xml:space="preserve">линейный интерфейсный узел субплаты;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LOS</w:t>
            </w:r>
          </w:p>
        </w:tc>
        <w:tc>
          <w:tcPr>
            <w:tcW w:w="0" w:type="auto"/>
          </w:tcPr>
          <w:p>
            <w:pPr/>
            <w:r>
              <w:rPr/>
              <w:t xml:space="preserve">диагностируемое состояние потери сигнала;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MIB</w:t>
            </w:r>
          </w:p>
        </w:tc>
        <w:tc>
          <w:tcPr>
            <w:tcW w:w="0" w:type="auto"/>
          </w:tcPr>
          <w:p>
            <w:pPr/>
            <w:r>
              <w:rPr/>
              <w:t xml:space="preserve">программное обеспечение для РМО;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MMC</w:t>
            </w:r>
          </w:p>
        </w:tc>
        <w:tc>
          <w:tcPr>
            <w:tcW w:w="0" w:type="auto"/>
          </w:tcPr>
          <w:p>
            <w:pPr/>
            <w:r>
              <w:rPr/>
              <w:t xml:space="preserve">средство управления, предоставляемое базовой платой;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MTBF</w:t>
            </w:r>
          </w:p>
        </w:tc>
        <w:tc>
          <w:tcPr>
            <w:tcW w:w="0" w:type="auto"/>
          </w:tcPr>
          <w:p>
            <w:pPr/>
            <w:r>
              <w:rPr/>
              <w:t xml:space="preserve">показатель надёжности, установленный не менее 15 000 ч;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PDH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функциональный модуль для обработки трактов E2 и E3;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PRBS 2^23−1</w:t>
            </w:r>
          </w:p>
        </w:tc>
        <w:tc>
          <w:tcPr>
            <w:tcW w:w="0" w:type="auto"/>
          </w:tcPr>
          <w:p>
            <w:pPr/>
            <w:r>
              <w:rPr/>
              <w:t xml:space="preserve">испытательная последовательность генератора/анализатора для измерения BER.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QoS</w:t>
            </w:r>
          </w:p>
        </w:tc>
        <w:tc>
          <w:tcPr>
            <w:tcW w:w="0" w:type="auto"/>
          </w:tcPr>
          <w:p>
            <w:pPr/>
            <w:r>
              <w:rPr/>
              <w:t xml:space="preserve">режим Strict Priority для Fabric 10GbE;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RX_CLK</w:t>
            </w:r>
          </w:p>
        </w:tc>
        <w:tc>
          <w:tcPr>
            <w:tcW w:w="0" w:type="auto"/>
          </w:tcPr>
          <w:p>
            <w:pPr/>
            <w:r>
              <w:rPr/>
              <w:t xml:space="preserve">выход частоты выбранного входного порта в базовую плату.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SAToP</w:t>
            </w:r>
          </w:p>
        </w:tc>
        <w:tc>
          <w:tcPr>
            <w:tcW w:w="0" w:type="auto"/>
          </w:tcPr>
          <w:p>
            <w:pPr/>
            <w:r>
              <w:rPr/>
              <w:t xml:space="preserve">режим передачи полного потока E3 по RFC 4553 с управляющим словом и контролем последовательности;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TCLK</w:t>
            </w:r>
          </w:p>
        </w:tc>
        <w:tc>
          <w:tcPr>
            <w:tcW w:w="0" w:type="auto"/>
          </w:tcPr>
          <w:p>
            <w:pPr/>
            <w:r>
              <w:rPr/>
              <w:t xml:space="preserve">тактовая частота 19,44 МГц, предоставляемая/формируемая базовой платой.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КИМП</w:t>
            </w:r>
          </w:p>
        </w:tc>
        <w:tc>
          <w:tcPr>
            <w:tcW w:w="0" w:type="auto"/>
          </w:tcPr>
          <w:p>
            <w:pPr/>
            <w:r>
              <w:rPr/>
              <w:t xml:space="preserve">комплектующие изделия межотраслевого применения.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ОКР</w:t>
            </w:r>
          </w:p>
        </w:tc>
        <w:tc>
          <w:tcPr>
            <w:tcW w:w="0" w:type="auto"/>
          </w:tcPr>
          <w:p>
            <w:pPr/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ОТК</w:t>
            </w:r>
          </w:p>
        </w:tc>
        <w:tc>
          <w:tcPr>
            <w:tcW w:w="0" w:type="auto"/>
          </w:tcPr>
          <w:p>
            <w:pPr/>
            <w:r>
              <w:rPr/>
              <w:t xml:space="preserve">подразделение, выполняющее приёмку материалов и комплектующих;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ПЛИС</w:t>
            </w:r>
          </w:p>
        </w:tc>
        <w:tc>
          <w:tcPr>
            <w:tcW w:w="0" w:type="auto"/>
          </w:tcPr>
          <w:p>
            <w:pPr/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ПМИ</w:t>
            </w:r>
          </w:p>
        </w:tc>
        <w:tc>
          <w:tcPr>
            <w:tcW w:w="0" w:type="auto"/>
          </w:tcPr>
          <w:p>
            <w:pPr/>
            <w:r>
              <w:rPr/>
              <w:t xml:space="preserve">документ испытаний; официальная расшифровка в исходных данных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РКД</w:t>
            </w:r>
          </w:p>
        </w:tc>
        <w:tc>
          <w:tcPr>
            <w:tcW w:w="0" w:type="auto"/>
          </w:tcPr>
          <w:p>
            <w:pPr/>
            <w:r>
              <w:rPr/>
              <w:t xml:space="preserve">рабочая конструкторская документация — совокупность конструкторских документов, предназначенных для изготовления, контроля, приёмки, поставки, эксплуатации и ремонта изделия.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РМО</w:t>
            </w:r>
          </w:p>
        </w:tc>
        <w:tc>
          <w:tcPr>
            <w:tcW w:w="0" w:type="auto"/>
          </w:tcPr>
          <w:p>
            <w:pPr/>
            <w:r>
              <w:rPr/>
              <w:t xml:space="preserve">средство телеметрии и управления, реализуемое на C++/Qt; официальная расшифровка не приведена.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СЧ ОКР</w:t>
            </w:r>
          </w:p>
        </w:tc>
        <w:tc>
          <w:tcPr>
            <w:tcW w:w="0" w:type="auto"/>
          </w:tcPr>
          <w:p>
            <w:pPr/>
            <w:r>
              <w:rPr/>
              <w:t xml:space="preserve">составная часть опытно-конструкторской работы.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ТЗ</w:t>
            </w:r>
          </w:p>
        </w:tc>
        <w:tc>
          <w:tcPr>
            <w:tcW w:w="0" w:type="auto"/>
          </w:tcPr>
          <w:p>
            <w:pPr/>
            <w:r>
              <w:rPr/>
              <w:t xml:space="preserve">техническое задание — исходный технический документ, устанавливающий требования к создаваемому изделию (его составной части или КИМП), технической документации, объёму и срокам работы и форме представления результатов.</w:t>
            </w:r>
          </w:p>
        </w:tc>
      </w:tr>
    </w:tbl>
    <w:p>
      <w:pPr/>
    </w:p>
    <w:p>
      <w:pPr/>
      <w:r>
        <w:rPr>
          <w:i/>
        </w:rPr>
        <w:t xml:space="preserve">Примечание — Для сокращений, официальные расшифровки которых отсутствуют в исходных данных, приведена только подтверждённая ими функция. Официальные расшифровки подлежат уточнению при согласовании ТЗ; это не изменяет установленные технические требования.</w:t>
      </w:r>
    </w:p>
    <w:p>
      <w:pPr>
        <w:pStyle w:val="Title"/>
        <w:jc w:val="center"/>
      </w:pPr>
      <w:r>
        <w:rPr>
          <w:b/>
        </w:rPr>
        <w:t xml:space="preserve">ПЕРЕЧЕНЬ ПРИМЕНИМЫХ НОРМАТИВНЫХ И СПРАВОЧНЫХ ДОКУМЕНТОВ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Обозначение документа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Применение в настоящем ТЗ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</w:t>
            </w:r>
          </w:p>
        </w:tc>
        <w:tc>
          <w:tcPr>
            <w:tcW w:w="0" w:type="auto"/>
          </w:tcPr>
          <w:p>
            <w:pPr/>
            <w:r>
              <w:rPr/>
              <w:t xml:space="preserve">ITU-T G.703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</w:t>
            </w:r>
          </w:p>
        </w:tc>
        <w:tc>
          <w:tcPr>
            <w:tcW w:w="0" w:type="auto"/>
          </w:tcPr>
          <w:p>
            <w:pPr/>
            <w:r>
              <w:rPr/>
              <w:t xml:space="preserve">ITU-T G.704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</w:t>
            </w:r>
          </w:p>
        </w:tc>
        <w:tc>
          <w:tcPr>
            <w:tcW w:w="0" w:type="auto"/>
          </w:tcPr>
          <w:p>
            <w:pPr/>
            <w:r>
              <w:rPr/>
              <w:t xml:space="preserve">ITU-T G.751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4</w:t>
            </w:r>
          </w:p>
        </w:tc>
        <w:tc>
          <w:tcPr>
            <w:tcW w:w="0" w:type="auto"/>
          </w:tcPr>
          <w:p>
            <w:pPr/>
            <w:r>
              <w:rPr/>
              <w:t xml:space="preserve">ITU-T G.823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</w:t>
            </w:r>
          </w:p>
        </w:tc>
        <w:tc>
          <w:tcPr>
            <w:tcW w:w="0" w:type="auto"/>
          </w:tcPr>
          <w:p>
            <w:pPr/>
            <w:r>
              <w:rPr/>
              <w:t xml:space="preserve">RFC 4553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6</w:t>
            </w:r>
          </w:p>
        </w:tc>
        <w:tc>
          <w:tcPr>
            <w:tcW w:w="0" w:type="auto"/>
          </w:tcPr>
          <w:p>
            <w:pPr/>
            <w:r>
              <w:rPr/>
              <w:t xml:space="preserve">PICMG AMC.0 R2.0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</w:t>
            </w:r>
          </w:p>
        </w:tc>
        <w:tc>
          <w:tcPr>
            <w:tcW w:w="0" w:type="auto"/>
          </w:tcPr>
          <w:p>
            <w:pPr/>
            <w:r>
              <w:rPr/>
              <w:t xml:space="preserve">ГОСТ РВ 20.39.304-98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</w:t>
            </w:r>
          </w:p>
        </w:tc>
        <w:tc>
          <w:tcPr>
            <w:tcW w:w="0" w:type="auto"/>
          </w:tcPr>
          <w:p>
            <w:pPr/>
            <w:r>
              <w:rPr/>
              <w:t xml:space="preserve">ГОСТ В 25803-91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9</w:t>
            </w:r>
          </w:p>
        </w:tc>
        <w:tc>
          <w:tcPr>
            <w:tcW w:w="0" w:type="auto"/>
          </w:tcPr>
          <w:p>
            <w:pPr/>
            <w:r>
              <w:rPr/>
              <w:t xml:space="preserve">ГОСТ 2.114-2016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10</w:t>
            </w:r>
          </w:p>
        </w:tc>
        <w:tc>
          <w:tcPr>
            <w:tcW w:w="0" w:type="auto"/>
          </w:tcPr>
          <w:p>
            <w:pPr/>
            <w:r>
              <w:rPr/>
              <w:t xml:space="preserve">ГОСТ РВ 15.201-2003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11</w:t>
            </w:r>
          </w:p>
        </w:tc>
        <w:tc>
          <w:tcPr>
            <w:tcW w:w="0" w:type="auto"/>
          </w:tcPr>
          <w:p>
            <w:pPr/>
            <w:r>
              <w:rPr/>
              <w:t xml:space="preserve">ГОСТ 15150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Применяется в части, прямо указанной в требованиях настоящего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12</w:t>
            </w:r>
          </w:p>
        </w:tc>
        <w:tc>
          <w:tcPr>
            <w:tcW w:w="0" w:type="auto"/>
          </w:tcPr>
          <w:p>
            <w:pPr/>
            <w:r>
              <w:rPr/>
              <w:t xml:space="preserve">ГОСТ 15.016-2016</w:t>
            </w:r>
          </w:p>
        </w:tc>
        <w:tc>
          <w:tcPr>
            <w:tcW w:w="0" w:type="auto"/>
          </w:tcPr>
          <w:p>
            <w:pPr/>
            <w:r>
              <w:rPr/>
              <w:t xml:space="preserve">Требования к построению и оформлению ТЗ на СЧ ОКР.</w:t>
            </w:r>
          </w:p>
        </w:tc>
      </w:tr>
    </w:tbl>
    <w:p>
      <w:pPr/>
    </w:p>
    <w:p>
      <w:pPr/>
      <w:r>
        <w:rPr>
          <w:i/>
        </w:rPr>
        <w:t xml:space="preserve">Примечание — Наименования документов, кроме наименования ГОСТ 15.016-2016, и сведения об их редакциях в исходных данных отсутствуют; они должны быть уточнены до утверждения ТЗ. Обозначения сохранены без дополнения из внешних источников.</w:t>
      </w:r>
    </w:p>
    <w:p>
      <w:pPr>
        <w:pStyle w:val="Heading1"/>
      </w:pPr>
      <w:r>
        <w:rPr/>
        <w:t xml:space="preserve">1 Наименование, шифр ОКР, основание, исполнитель и сроки выполнения ОКР</w:t>
      </w:r>
    </w:p>
    <w:p>
      <w:pPr>
        <w:pStyle w:val="Requirement"/>
      </w:pPr>
      <w:r>
        <w:rPr>
          <w:b/>
        </w:rPr>
        <w:t xml:space="preserve">1.1 </w:t>
      </w:r>
      <w:r>
        <w:rPr/>
        <w:t xml:space="preserve">Наименование СЧ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pStyle w:val="Requirement"/>
      </w:pPr>
      <w:r>
        <w:rPr>
          <w:b/>
        </w:rPr>
        <w:t xml:space="preserve">1.2 </w:t>
      </w:r>
      <w:r>
        <w:rPr/>
        <w:t xml:space="preserve">Шифр ОКР — «Развитие-ТСА».</w:t>
      </w:r>
    </w:p>
    <w:p>
      <w:pPr>
        <w:pStyle w:val="Requirement"/>
      </w:pPr>
      <w:r>
        <w:rPr>
          <w:b/>
        </w:rPr>
        <w:t xml:space="preserve">1.3 </w:t>
      </w:r>
      <w:r>
        <w:rPr/>
        <w:t xml:space="preserve">Основание выполнения — приказ об открытии инициативной ОКР № [уточнить] от [уточнить]. Номер и дата приказа отсутствуют в исходных данных и должны быть установлены разработчиком до утверждения ТЗ.</w:t>
      </w:r>
    </w:p>
    <w:p>
      <w:pPr>
        <w:pStyle w:val="Requirement"/>
      </w:pPr>
      <w:r>
        <w:rPr>
          <w:b/>
        </w:rPr>
        <w:t xml:space="preserve">1.4 </w:t>
      </w:r>
      <w:r>
        <w:rPr/>
        <w:t xml:space="preserve">Исполнитель СЧ ОКР — ООО «тушканчик» (условное наименование из исходных данных). Головной исполнитель ОКР и заказчик — [уточнить].</w:t>
      </w:r>
    </w:p>
    <w:p>
      <w:pPr>
        <w:pStyle w:val="Requirement"/>
      </w:pPr>
      <w:r>
        <w:rPr>
          <w:b/>
        </w:rPr>
        <w:t xml:space="preserve">1.5 </w:t>
      </w:r>
      <w:r>
        <w:rPr/>
        <w:t xml:space="preserve">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Календарные сроки и реквизиты плана-графика — [уточнить].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Проверяемое 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1.1–1.4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документов</w:t>
            </w:r>
          </w:p>
        </w:tc>
        <w:tc>
          <w:tcPr>
            <w:tcW w:w="0" w:type="auto"/>
          </w:tcPr>
          <w:p>
            <w:pPr/>
            <w:r>
              <w:rPr/>
              <w:t xml:space="preserve">Наименование, шифр, основание и исполнитель совпадают с утверждёнными реквизитами; отсутствующие реквизиты заполнены до утверждения.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1.5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плана-графика</w:t>
            </w:r>
          </w:p>
        </w:tc>
        <w:tc>
          <w:tcPr>
            <w:tcW w:w="0" w:type="auto"/>
          </w:tcPr>
          <w:p>
            <w:pPr/>
            <w:r>
              <w:rPr/>
              <w:t xml:space="preserve">Сроки РКД, программной документации, изготовления образцов и испытаний взаимно увязаны. Проверка заблокирована до предоставления утверждённого плана-графика.</w:t>
            </w:r>
          </w:p>
        </w:tc>
      </w:tr>
    </w:tbl>
    <w:p>
      <w:pPr/>
    </w:p>
    <w:p>
      <w:pPr>
        <w:pStyle w:val="Heading1"/>
      </w:pPr>
      <w:r>
        <w:rPr/>
        <w:t xml:space="preserve">2 Цель выполнения ОКР, наименование, назначение и область применения изделия</w:t>
      </w:r>
    </w:p>
    <w:p>
      <w:pPr>
        <w:pStyle w:val="Requirement"/>
      </w:pPr>
      <w:r>
        <w:rPr>
          <w:b/>
        </w:rPr>
        <w:t xml:space="preserve">2.1 </w:t>
      </w:r>
      <w:r>
        <w:rPr/>
        <w:t xml:space="preserve">Цель СЧ ОКР — разработать субплату E2/E3 и функциональный модуль PDH, обеспечивающие подключение двух независимых потоков E2 и одного потока E3 к платформе ДММП через коаксиальные линии, TDM-over-Packet, джиттер-буферизацию и синхронизацию.</w:t>
      </w:r>
    </w:p>
    <w:p>
      <w:pPr>
        <w:pStyle w:val="Requirement"/>
      </w:pPr>
      <w:r>
        <w:rPr>
          <w:b/>
        </w:rPr>
        <w:t xml:space="preserve">2.2 </w:t>
      </w:r>
      <w:r>
        <w:rPr/>
        <w:t xml:space="preserve">Изделие предназначено для PDH-трактов 8 и 34 Мбит/с в энергетике, на железнодорожном транспорте и у магистральных операторов.</w:t>
      </w:r>
    </w:p>
    <w:p>
      <w:pPr>
        <w:pStyle w:val="Requirement"/>
      </w:pPr>
      <w:r>
        <w:rPr>
          <w:b/>
        </w:rPr>
        <w:t xml:space="preserve">2.3 </w:t>
      </w:r>
      <w:r>
        <w:rPr/>
        <w:t xml:space="preserve">AMC должен устанавливаться на Carrier платформы ДММП.</w:t>
      </w:r>
    </w:p>
    <w:p>
      <w:pPr>
        <w:pStyle w:val="Requirement"/>
      </w:pPr>
      <w:r>
        <w:rPr>
          <w:b/>
        </w:rPr>
        <w:t xml:space="preserve">2.4 </w:t>
      </w:r>
      <w:r>
        <w:rPr/>
        <w:t xml:space="preserve">Аппаратная часть должна включать сменную субплату, линейные интерфейсы, защиту, трансиверы и EEPROM.</w:t>
      </w:r>
    </w:p>
    <w:p>
      <w:pPr>
        <w:pStyle w:val="Requirement"/>
      </w:pPr>
      <w:r>
        <w:rPr>
          <w:b/>
        </w:rPr>
        <w:t xml:space="preserve">2.5 </w:t>
      </w:r>
      <w:r>
        <w:rPr/>
        <w:t xml:space="preserve">Логическая часть должна быть реализована как функциональный модуль ПЛИС базовой платы и автоматически активироваться по Board ID субплаты.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2.1–2.5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РКД, анализ архитектуры и 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Состав, назначение, область применения, установка на Carrier и разделение аппаратной/логической частей соответствуют 2.1–2.5; модуль PDH активируется автоматически при Board ID 0x03.</w:t>
            </w:r>
          </w:p>
        </w:tc>
      </w:tr>
    </w:tbl>
    <w:p>
      <w:pPr/>
    </w:p>
    <w:p>
      <w:pPr>
        <w:pStyle w:val="Heading1"/>
      </w:pPr>
      <w:r>
        <w:rPr/>
        <w:t xml:space="preserve">3 Технические требования к изделию</w:t>
      </w:r>
    </w:p>
    <w:p>
      <w:pPr>
        <w:pStyle w:val="Heading2"/>
      </w:pPr>
      <w:r>
        <w:rPr/>
        <w:t xml:space="preserve">3.1 Архитектура, разъёмы и кабели</w:t>
      </w:r>
    </w:p>
    <w:p>
      <w:pPr>
        <w:pStyle w:val="Requirement"/>
      </w:pPr>
      <w:r>
        <w:rPr>
          <w:b/>
        </w:rPr>
        <w:t xml:space="preserve">3.1.1 </w:t>
      </w:r>
      <w:r>
        <w:rPr/>
        <w:t xml:space="preserve">Субплата должна соединяться с базовой платой через B2B и иметь три экранированных вибростойких разъёма HARTING PushPull 09452812560 с замковой фиксацией.</w:t>
      </w:r>
    </w:p>
    <w:p>
      <w:pPr>
        <w:pStyle w:val="Requirement"/>
      </w:pPr>
      <w:r>
        <w:rPr>
          <w:b/>
        </w:rPr>
        <w:t xml:space="preserve">3.1.2 </w:t>
      </w:r>
      <w:r>
        <w:rPr/>
        <w:t xml:space="preserve">Тракты E2 и E3 должны иметь волновое сопротивление 75 Ом. Субплата должна содержать ВЧ-трансформаторы, LIU, EEPROM с Board ID 0x03 и светодиоды.</w:t>
      </w:r>
    </w:p>
    <w:p>
      <w:pPr>
        <w:pStyle w:val="Requirement"/>
      </w:pPr>
      <w:r>
        <w:rPr>
          <w:b/>
        </w:rPr>
        <w:t xml:space="preserve">3.1.3 </w:t>
      </w:r>
      <w:r>
        <w:rPr/>
        <w:t xml:space="preserve">Базовая плата должна предоставлять субплате напряжения +12 В и +3,3 В, MMC и тактирование, а также автоматически загружать bitstream PDH из Flash при идентификации Board ID 0x03.</w:t>
      </w:r>
    </w:p>
    <w:p>
      <w:pPr>
        <w:pStyle w:val="Requirement"/>
      </w:pPr>
      <w:r>
        <w:rPr>
          <w:b/>
        </w:rPr>
        <w:t xml:space="preserve">3.1.4 </w:t>
      </w:r>
      <w:r>
        <w:rPr/>
        <w:t xml:space="preserve">Разъёмы E2-1, E2-2 и E3-1 должны обслуживать отдельные передающие TX и приёмные RX коаксиальные цепи 75 Ом.</w:t>
      </w:r>
    </w:p>
    <w:p>
      <w:pPr>
        <w:pStyle w:val="Requirement"/>
      </w:pPr>
      <w:r>
        <w:rPr>
          <w:b/>
        </w:rPr>
        <w:t xml:space="preserve">3.1.5 </w:t>
      </w:r>
      <w:r>
        <w:rPr/>
        <w:t xml:space="preserve">В комплект изделия и РКД должны входить экранированные адаптеры HARTING PushPull → две вилки BNC 75 Ом / DIN 1.0/2.3 с маркировкой TX и RX. Использование BNC 50 Ом запрещено по импедансу и габаритам.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3.1.1–3.1.2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и измерение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Наличие 3 заданных разъёмов, B2B, ВЧ-трансформаторов, LIU, EEPROM 0x03, светодиодов; тракты имеют 75 Ом.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3.1.3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 и 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На B2B присутствуют +12 В и +3,3 В; доступны MMC и тактирование; при Board ID 0x03 bitstream PDH автоматически загружается из Flash.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3.1.4–3.1.5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и измерение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Каждый порт имеет отдельные TX/RX цепи 75 Ом; комплект содержит маркированные экранированные адаптеры; BNC 50 Ом отсутствуют.</w:t>
            </w:r>
          </w:p>
        </w:tc>
      </w:tr>
    </w:tbl>
    <w:p>
      <w:pPr/>
    </w:p>
    <w:p>
      <w:pPr>
        <w:pStyle w:val="Heading2"/>
      </w:pPr>
      <w:r>
        <w:rPr/>
        <w:t xml:space="preserve">3.2 Электрические параметры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Параметр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E2 (два порта)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E3 (один порт)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Скорость</w:t>
            </w:r>
          </w:p>
        </w:tc>
        <w:tc>
          <w:tcPr>
            <w:tcW w:w="0" w:type="auto"/>
          </w:tcPr>
          <w:p>
            <w:pPr/>
            <w:r>
              <w:rPr/>
              <w:t xml:space="preserve">8448 кбит/с (8,448 Мбит/с) ±30 ppm</w:t>
            </w:r>
          </w:p>
        </w:tc>
        <w:tc>
          <w:tcPr>
            <w:tcW w:w="0" w:type="auto"/>
          </w:tcPr>
          <w:p>
            <w:pPr/>
            <w:r>
              <w:rPr/>
              <w:t xml:space="preserve">34 368 кбит/с (34,368 Мбит/с) ±20 ppm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Код и сопротивление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HDB3, 75 Ом</w:t>
            </w:r>
          </w:p>
        </w:tc>
        <w:tc>
          <w:tcPr>
            <w:tcW w:w="0" w:type="auto"/>
          </w:tcPr>
          <w:p>
            <w:pPr/>
            <w:r>
              <w:rPr/>
              <w:t xml:space="preserve">HDB3, 75 Ом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Пиковое напряжение / длительность</w:t>
            </w:r>
          </w:p>
        </w:tc>
        <w:tc>
          <w:tcPr>
            <w:tcW w:w="0" w:type="auto"/>
          </w:tcPr>
          <w:p>
            <w:pPr/>
            <w:r>
              <w:rPr/>
              <w:t xml:space="preserve">2,37 В / 59 нс</w:t>
            </w:r>
          </w:p>
        </w:tc>
        <w:tc>
          <w:tcPr>
            <w:tcW w:w="0" w:type="auto"/>
          </w:tcPr>
          <w:p>
            <w:pPr/>
            <w:r>
              <w:rPr/>
              <w:t xml:space="preserve">1,0 В / 14,55 нс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Возвратные потери входа/выхода</w:t>
            </w:r>
          </w:p>
        </w:tc>
        <w:tc>
          <w:tcPr>
            <w:tcW w:w="0" w:type="auto"/>
          </w:tcPr>
          <w:p>
            <w:pPr/>
            <w:r>
              <w:rPr/>
              <w:t xml:space="preserve">≥18 дБ, 422–8448 кГц</w:t>
            </w:r>
          </w:p>
        </w:tc>
        <w:tc>
          <w:tcPr>
            <w:tcW w:w="0" w:type="auto"/>
          </w:tcPr>
          <w:p>
            <w:pPr/>
            <w:r>
              <w:rPr/>
              <w:t xml:space="preserve">≥18 дБ, 1720–34 368 кГц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Допустимое затухание кабеля</w:t>
            </w:r>
          </w:p>
        </w:tc>
        <w:tc>
          <w:tcPr>
            <w:tcW w:w="0" w:type="auto"/>
          </w:tcPr>
          <w:p>
            <w:pPr/>
            <w:r>
              <w:rPr/>
              <w:t xml:space="preserve">до 6 дБ на 4224 кГц</w:t>
            </w:r>
          </w:p>
        </w:tc>
        <w:tc>
          <w:tcPr>
            <w:tcW w:w="0" w:type="auto"/>
          </w:tcPr>
          <w:p>
            <w:pPr/>
            <w:r>
              <w:rPr/>
              <w:t xml:space="preserve">до 12 дБ на 17 184 кГц</w:t>
            </w:r>
          </w:p>
        </w:tc>
      </w:tr>
    </w:tbl>
    <w:p>
      <w:pPr/>
    </w:p>
    <w:p>
      <w:pPr>
        <w:pStyle w:val="Requirement"/>
      </w:pPr>
      <w:r>
        <w:rPr>
          <w:b/>
        </w:rPr>
        <w:t xml:space="preserve">3.2.1 </w:t>
      </w:r>
      <w:r>
        <w:rPr/>
        <w:t xml:space="preserve">Электрические параметры E2 и E3 должны соответствовать значениям таблицы 3.2 и ITU-T G.703.</w:t>
      </w:r>
    </w:p>
    <w:p>
      <w:pPr>
        <w:pStyle w:val="Requirement"/>
      </w:pPr>
      <w:r>
        <w:rPr>
          <w:b/>
        </w:rPr>
        <w:t xml:space="preserve">3.2.2 </w:t>
      </w:r>
      <w:r>
        <w:rPr/>
        <w:t xml:space="preserve">Структура потока E2 должна соответствовать ITU-T G.704, структура потока E3 — ITU-T G.751.</w:t>
      </w:r>
    </w:p>
    <w:p>
      <w:pPr>
        <w:pStyle w:val="Requirement"/>
      </w:pPr>
      <w:r>
        <w:rPr>
          <w:b/>
        </w:rPr>
        <w:t xml:space="preserve">3.2.3 </w:t>
      </w:r>
      <w:r>
        <w:rPr/>
        <w:t xml:space="preserve">Каждый порт должен иметь трансформаторную гальваническую развязку и импульсную защиту.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Условия и 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3.2.1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Для каждого из 2 портов E2 и 1 порта E3 измерить все параметры таблицы 3.2 на указанных частотах и при указанном затухании; значения должны совпадать с пределами таблицы. Пределы погрешностей измерений отсутствуют и подлежат установлению в ПМИ.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3.2.2</w:t>
            </w:r>
          </w:p>
        </w:tc>
        <w:tc>
          <w:tcPr>
            <w:tcW w:w="0" w:type="auto"/>
          </w:tcPr>
          <w:p>
            <w:pPr/>
            <w:r>
              <w:rPr/>
              <w:t xml:space="preserve">Анализ и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Подтвердить структуру E2 по G.704 и E3 по G.751. Конкретные профили/режимы в исходных данных не заданы и должны быть определены в ПМИ без изменения требований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3.2.3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и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На каждом порту присутствуют трансформаторная развязка и импульсная защита. Параметры испытательного импульса не заданы; окончательная методика заблокирована до их установления.</w:t>
            </w:r>
          </w:p>
        </w:tc>
      </w:tr>
    </w:tbl>
    <w:p>
      <w:pPr/>
    </w:p>
    <w:p>
      <w:pPr>
        <w:pStyle w:val="Heading2"/>
      </w:pPr>
      <w:r>
        <w:rPr/>
        <w:t xml:space="preserve">3.3 Пакетная передача</w:t>
      </w:r>
    </w:p>
    <w:p>
      <w:pPr>
        <w:pStyle w:val="Requirement"/>
      </w:pPr>
      <w:r>
        <w:rPr>
          <w:b/>
        </w:rPr>
        <w:t xml:space="preserve">3.3.1 </w:t>
      </w:r>
      <w:r>
        <w:rPr/>
        <w:t xml:space="preserve">Поток E3 должен передаваться в режиме SAToP по RFC 4553 полностью, с управляющим словом и контролем последовательности.</w:t>
      </w:r>
    </w:p>
    <w:p>
      <w:pPr>
        <w:pStyle w:val="Requirement"/>
      </w:pPr>
      <w:r>
        <w:rPr>
          <w:b/>
        </w:rPr>
        <w:t xml:space="preserve">3.3.2 </w:t>
      </w:r>
      <w:r>
        <w:rPr/>
        <w:t xml:space="preserve">Каждый поток E2 должен передаваться в режиме E2oP на архитектуре SAToP полностью, с минимальной фиксированной задержкой.</w:t>
      </w:r>
    </w:p>
    <w:p>
      <w:pPr>
        <w:pStyle w:val="Requirement"/>
      </w:pPr>
      <w:r>
        <w:rPr>
          <w:b/>
        </w:rPr>
        <w:t xml:space="preserve">3.3.3 </w:t>
      </w:r>
      <w:r>
        <w:rPr/>
        <w:t xml:space="preserve">Пакетная передача должна использовать Fabric 10GbE и Strict Priority QoS.</w:t>
      </w:r>
    </w:p>
    <w:p>
      <w:pPr>
        <w:pStyle w:val="Requirement"/>
      </w:pPr>
      <w:r>
        <w:rPr>
          <w:b/>
        </w:rPr>
        <w:t xml:space="preserve">3.3.4 </w:t>
      </w:r>
      <w:r>
        <w:rPr/>
        <w:t xml:space="preserve">Джиттер-буфер каждого сервиса должен настраиваться в пределах 1–64 мс.</w:t>
      </w:r>
    </w:p>
    <w:p>
      <w:pPr>
        <w:pStyle w:val="Requirement"/>
      </w:pPr>
      <w:r>
        <w:rPr>
          <w:b/>
        </w:rPr>
        <w:t xml:space="preserve">3.3.5 </w:t>
      </w:r>
      <w:r>
        <w:rPr/>
        <w:t xml:space="preserve">При потере пакетов или аварии сети на соответствующем выходе должен формироваться непрерывный AIS.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3.3.1–3.3.3</w:t>
            </w:r>
          </w:p>
        </w:tc>
        <w:tc>
          <w:tcPr>
            <w:tcW w:w="0" w:type="auto"/>
          </w:tcPr>
          <w:p>
            <w:pPr/>
            <w:r>
              <w:rPr/>
              <w:t xml:space="preserve">Анализ трафика и 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E3 передаётся полностью по RFC 4553 с управляющим словом и контролем последовательности; оба E2 передаются полностью как E2oP на SAToP; используется Fabric 10GbE и Strict Priority QoS.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3.3.4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Для каждого сервиса доступны и применяются настройки 1 мс и 64 мс, а также значения между ними. Шаг настройки не задан и подлежит уточнению в ПМИ.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3.3.5</w:t>
            </w:r>
          </w:p>
        </w:tc>
        <w:tc>
          <w:tcPr>
            <w:tcW w:w="0" w:type="auto"/>
          </w:tcPr>
          <w:p>
            <w:pPr/>
            <w:r>
              <w:rPr/>
              <w:t xml:space="preserve">Испытание отказа</w:t>
            </w:r>
          </w:p>
        </w:tc>
        <w:tc>
          <w:tcPr>
            <w:tcW w:w="0" w:type="auto"/>
          </w:tcPr>
          <w:p>
            <w:pPr/>
            <w:r>
              <w:rPr/>
              <w:t xml:space="preserve">При имитации потери пакетов и отдельно аварии сети соответствующий выход непрерывно формирует AIS. Порог объявления потери/аварии и время реакции не заданы и должны быть установлены в ПМИ.</w:t>
            </w:r>
          </w:p>
        </w:tc>
      </w:tr>
    </w:tbl>
    <w:p>
      <w:pPr/>
    </w:p>
    <w:p>
      <w:pPr>
        <w:pStyle w:val="Heading2"/>
      </w:pPr>
      <w:r>
        <w:rPr/>
        <w:t xml:space="preserve">3.4 Синхронизация</w:t>
      </w:r>
    </w:p>
    <w:p>
      <w:pPr>
        <w:pStyle w:val="Requirement"/>
      </w:pPr>
      <w:r>
        <w:rPr>
          <w:b/>
        </w:rPr>
        <w:t xml:space="preserve">3.4.1 </w:t>
      </w:r>
      <w:r>
        <w:rPr/>
        <w:t xml:space="preserve">Должен выполняться пересчёт TCLK 19,44 МГц в частоты 8,448 МГц и 34,368 МГц.</w:t>
      </w:r>
    </w:p>
    <w:p>
      <w:pPr>
        <w:pStyle w:val="Requirement"/>
      </w:pPr>
      <w:r>
        <w:rPr>
          <w:b/>
        </w:rPr>
        <w:t xml:space="preserve">3.4.2 </w:t>
      </w:r>
      <w:r>
        <w:rPr/>
        <w:t xml:space="preserve">Должны поддерживаться ACR, DCR, Holdover и Loop timing.</w:t>
      </w:r>
    </w:p>
    <w:p>
      <w:pPr>
        <w:pStyle w:val="Requirement"/>
      </w:pPr>
      <w:r>
        <w:rPr>
          <w:b/>
        </w:rPr>
        <w:t xml:space="preserve">3.4.3 </w:t>
      </w:r>
      <w:r>
        <w:rPr/>
        <w:t xml:space="preserve">Частота любого входного порта должна выдаваться в RX_CLK. ПЛИС/DPLL базовой платы должна преобразовывать RX_CLK в 19,44 МГц для TCLK.</w:t>
      </w:r>
    </w:p>
    <w:p>
      <w:pPr>
        <w:pStyle w:val="Requirement"/>
      </w:pPr>
      <w:r>
        <w:rPr>
          <w:b/>
        </w:rPr>
        <w:t xml:space="preserve">3.4.4 </w:t>
      </w:r>
      <w:r>
        <w:rPr/>
        <w:t xml:space="preserve">Параметры джиттера и вандера должны соответствовать ITU-T G.823.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3.4.1–3.4.3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 и 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Из TCLK 19,44 МГц формируются 8,448 и 34,368 МГц; доступны все четыре режима; любой из трёх входных портов выбирается источником RX_CLK, после чего ПЛИС/DPLL формирует 19,44 МГц для TCLK.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3.4.4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Джиттер и вандер соответствуют G.823. Применимые маски, интервалы и погрешности не конкретизированы в исходных данных и должны быть установлены в ПМИ со ссылкой на применимую редакцию G.823.</w:t>
            </w:r>
          </w:p>
        </w:tc>
      </w:tr>
    </w:tbl>
    <w:p>
      <w:pPr/>
    </w:p>
    <w:p>
      <w:pPr>
        <w:pStyle w:val="Heading2"/>
      </w:pPr>
      <w:r>
        <w:rPr/>
        <w:t xml:space="preserve">3.5 Диагностика и испытательные функции</w:t>
      </w:r>
    </w:p>
    <w:p>
      <w:pPr>
        <w:pStyle w:val="Requirement"/>
      </w:pPr>
      <w:r>
        <w:rPr>
          <w:b/>
        </w:rPr>
        <w:t xml:space="preserve">3.5.1 </w:t>
      </w:r>
      <w:r>
        <w:rPr/>
        <w:t xml:space="preserve">Для каждого порта должны контролироваться LOS, AIS, BPV/CV HDB3, переполнение и опустошение джиттер-буфера.</w:t>
      </w:r>
    </w:p>
    <w:p>
      <w:pPr>
        <w:pStyle w:val="Requirement"/>
      </w:pPr>
      <w:r>
        <w:rPr>
          <w:b/>
        </w:rPr>
        <w:t xml:space="preserve">3.5.2 </w:t>
      </w:r>
      <w:r>
        <w:rPr/>
        <w:t xml:space="preserve">Для каждого порта должны поддерживаться Local Line, Payload и Packet Loopback.</w:t>
      </w:r>
    </w:p>
    <w:p>
      <w:pPr>
        <w:pStyle w:val="Requirement"/>
      </w:pPr>
      <w:r>
        <w:rPr>
          <w:b/>
        </w:rPr>
        <w:t xml:space="preserve">3.5.3 </w:t>
      </w:r>
      <w:r>
        <w:rPr/>
        <w:t xml:space="preserve">Для каждого порта должны быть предусмотрены генератор и анализатор PRBS 2^23−1 для измерения BER.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3.5.1</w:t>
            </w:r>
          </w:p>
        </w:tc>
        <w:tc>
          <w:tcPr>
            <w:tcW w:w="0" w:type="auto"/>
          </w:tcPr>
          <w:p>
            <w:pPr/>
            <w:r>
              <w:rPr/>
              <w:t xml:space="preserve">Внесение диагностических состояний</w:t>
            </w:r>
          </w:p>
        </w:tc>
        <w:tc>
          <w:tcPr>
            <w:tcW w:w="0" w:type="auto"/>
          </w:tcPr>
          <w:p>
            <w:pPr/>
            <w:r>
              <w:rPr/>
              <w:t xml:space="preserve">Для каждого из портов E2-1, E2-2 и E3-1 отдельно вызываются и регистрируются LOS, AIS, BPV/CV HDB3, переполнение и опустошение буфера.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3.5.2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На каждом порту поочерёдно включаются Local Line, Payload и Packet Loopback; факт прохождения данных через выбранную петлю наблюдаем.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3.5.3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На каждом порту генератор создаёт, а анализатор принимает PRBS 2^23−1 и предоставляет результат BER. Порог BER не задан и не является критерием настоящего ТЗ.</w:t>
            </w:r>
          </w:p>
        </w:tc>
      </w:tr>
    </w:tbl>
    <w:p>
      <w:pPr/>
    </w:p>
    <w:p>
      <w:pPr>
        <w:pStyle w:val="Heading2"/>
      </w:pPr>
      <w:r>
        <w:rPr/>
        <w:t xml:space="preserve">3.6 Энергопотребление и конструкция</w:t>
      </w:r>
    </w:p>
    <w:p>
      <w:pPr>
        <w:pStyle w:val="Requirement"/>
      </w:pPr>
      <w:r>
        <w:rPr>
          <w:b/>
        </w:rPr>
        <w:t xml:space="preserve">3.6.1 </w:t>
      </w:r>
      <w:r>
        <w:rPr/>
        <w:t xml:space="preserve">Потребляемая мощность субплаты должна быть не более 15 Вт; потребляемая мощность сборки должна быть не более 35 Вт.</w:t>
      </w:r>
    </w:p>
    <w:p>
      <w:pPr>
        <w:pStyle w:val="Requirement"/>
      </w:pPr>
      <w:r>
        <w:rPr>
          <w:b/>
        </w:rPr>
        <w:t xml:space="preserve">3.6.2 </w:t>
      </w:r>
      <w:r>
        <w:rPr/>
        <w:t xml:space="preserve">Конструкция должна соответствовать Single Full-size AMC.0 и иметь габариты 73,5 × 180,6 × 28,95 мм.</w:t>
      </w:r>
    </w:p>
    <w:p>
      <w:pPr>
        <w:pStyle w:val="Requirement"/>
      </w:pPr>
      <w:r>
        <w:rPr>
          <w:b/>
        </w:rPr>
        <w:t xml:space="preserve">3.6.3 </w:t>
      </w:r>
      <w:r>
        <w:rPr/>
        <w:t xml:space="preserve">Межплатное крепление должно выполняться на 4–6 металлических стойках М2,5.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3.6.1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Мощность субплаты ≤15 Вт и сборки ≤35 Вт. Режим максимального потребления и погрешность измерения не заданы и должны быть установлены в ПМИ.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3.6.2–3.6.3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 и инспекция</w:t>
            </w:r>
          </w:p>
        </w:tc>
        <w:tc>
          <w:tcPr>
            <w:tcW w:w="0" w:type="auto"/>
          </w:tcPr>
          <w:p>
            <w:pPr/>
            <w:r>
              <w:rPr/>
              <w:t xml:space="preserve">Форм-фактор Single Full-size AMC.0; габариты 73,5 × 180,6 × 28,95 мм; установлено от 4 до 6 металлических стоек М2,5.</w:t>
            </w:r>
          </w:p>
        </w:tc>
      </w:tr>
    </w:tbl>
    <w:p>
      <w:pPr/>
    </w:p>
    <w:p>
      <w:pPr>
        <w:pStyle w:val="Heading2"/>
      </w:pPr>
      <w:r>
        <w:rPr/>
        <w:t xml:space="preserve">3.7 Стойкость к внешним воздействиям и электромагнитная совместимость</w:t>
      </w:r>
    </w:p>
    <w:p>
      <w:pPr>
        <w:pStyle w:val="Requirement"/>
      </w:pPr>
      <w:r>
        <w:rPr>
          <w:b/>
        </w:rPr>
        <w:t xml:space="preserve">3.7.1 </w:t>
      </w:r>
      <w:r>
        <w:rPr/>
        <w:t xml:space="preserve">Изделие должно соответствовать ГОСТ РВ 20.39.304-98 для групп 1.1, 1.3, 1.4.1, исполнение «О».</w:t>
      </w:r>
    </w:p>
    <w:p>
      <w:pPr>
        <w:pStyle w:val="Requirement"/>
      </w:pPr>
      <w:r>
        <w:rPr>
          <w:b/>
        </w:rPr>
        <w:t xml:space="preserve">3.7.2 </w:t>
      </w:r>
      <w:r>
        <w:rPr/>
        <w:t xml:space="preserve">Рабочая температура должна составлять −10…+50 °C; предельная температура — −40…+65 °C.</w:t>
      </w:r>
    </w:p>
    <w:p>
      <w:pPr>
        <w:pStyle w:val="Requirement"/>
      </w:pPr>
      <w:r>
        <w:rPr>
          <w:b/>
        </w:rPr>
        <w:t xml:space="preserve">3.7.3 </w:t>
      </w:r>
      <w:r>
        <w:rPr/>
        <w:t xml:space="preserve">Изделие должно выдерживать синусоидальную вибрацию 5g и удары 15g.</w:t>
      </w:r>
    </w:p>
    <w:p>
      <w:pPr>
        <w:pStyle w:val="Requirement"/>
      </w:pPr>
      <w:r>
        <w:rPr>
          <w:b/>
        </w:rPr>
        <w:t xml:space="preserve">3.7.4 </w:t>
      </w:r>
      <w:r>
        <w:rPr/>
        <w:t xml:space="preserve">Радиопомехи должны соответствовать группе 1.1.1 ГОСТ В 25803-91.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3.7.1–3.7.3</w:t>
            </w:r>
          </w:p>
        </w:tc>
        <w:tc>
          <w:tcPr>
            <w:tcW w:w="0" w:type="auto"/>
          </w:tcPr>
          <w:p>
            <w:pPr/>
            <w:r>
              <w:rPr/>
              <w:t xml:space="preserve">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Подтверждено соответствие группам 1.1, 1.3, 1.4.1, исполнению «О», работоспособность при −10 и +50 °C, стойкость при предельных −40 и +65 °C, вибрации 5g и ударах 15g. Режимы, длительности и допустимые погрешности отсутствуют и должны быть установлены в ПМИ по применимой редакции стандарта.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3.7.4</w:t>
            </w:r>
          </w:p>
        </w:tc>
        <w:tc>
          <w:tcPr>
            <w:tcW w:w="0" w:type="auto"/>
          </w:tcPr>
          <w:p>
            <w:pPr/>
            <w:r>
              <w:rPr/>
              <w:t xml:space="preserve">Измерение/испытание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Радиопомехи соответствуют группе 1.1.1 ГОСТ В 25803-91; конкретные нормы и методика определяются ПМИ по применимой редакции стандарта.</w:t>
            </w:r>
          </w:p>
        </w:tc>
      </w:tr>
    </w:tbl>
    <w:p>
      <w:pPr/>
    </w:p>
    <w:p>
      <w:pPr>
        <w:pStyle w:val="Heading2"/>
      </w:pPr>
      <w:r>
        <w:rPr/>
        <w:t xml:space="preserve">3.8 Надёжность</w:t>
      </w:r>
    </w:p>
    <w:p>
      <w:pPr>
        <w:pStyle w:val="Requirement"/>
      </w:pPr>
      <w:r>
        <w:rPr>
          <w:b/>
        </w:rPr>
        <w:t xml:space="preserve">3.8.1 </w:t>
      </w:r>
      <w:r>
        <w:rPr/>
        <w:t xml:space="preserve">MTBF должен быть не менее 15 000 ч.</w:t>
      </w:r>
    </w:p>
    <w:p>
      <w:pPr>
        <w:pStyle w:val="Requirement"/>
      </w:pPr>
      <w:r>
        <w:rPr>
          <w:b/>
        </w:rPr>
        <w:t xml:space="preserve">3.8.2 </w:t>
      </w:r>
      <w:r>
        <w:rPr/>
        <w:t xml:space="preserve">Назначенный срок службы должен быть не менее 5 лет.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3.8.1</w:t>
            </w:r>
          </w:p>
        </w:tc>
        <w:tc>
          <w:tcPr>
            <w:tcW w:w="0" w:type="auto"/>
          </w:tcPr>
          <w:p>
            <w:pPr/>
            <w:r>
              <w:rPr/>
              <w:t xml:space="preserve">Расчёт и/или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Подтверждён MTBF ≥15 000 ч. Модель эксплуатации, доверительная вероятность и исходные данные не заданы и должны быть установлены в программе обеспечения надёжности или ПМИ.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3.8.2</w:t>
            </w:r>
          </w:p>
        </w:tc>
        <w:tc>
          <w:tcPr>
            <w:tcW w:w="0" w:type="auto"/>
          </w:tcPr>
          <w:p>
            <w:pPr/>
            <w:r>
              <w:rPr/>
              <w:t xml:space="preserve">Анализ РКД и эксплуатационной документации</w:t>
            </w:r>
          </w:p>
        </w:tc>
        <w:tc>
          <w:tcPr>
            <w:tcW w:w="0" w:type="auto"/>
          </w:tcPr>
          <w:p>
            <w:pPr/>
            <w:r>
              <w:rPr/>
              <w:t xml:space="preserve">В документации установлен назначенный срок службы ≥5 лет; режим эксплуатации для расчёта/подтверждения не задан и подлежит уточнению.</w:t>
            </w:r>
          </w:p>
        </w:tc>
      </w:tr>
    </w:tbl>
    <w:p>
      <w:pPr/>
    </w:p>
    <w:p>
      <w:pPr>
        <w:pStyle w:val="Heading1"/>
      </w:pPr>
      <w:r>
        <w:rPr/>
        <w:t xml:space="preserve">4 Технико-экономические требования</w:t>
      </w:r>
    </w:p>
    <w:p>
      <w:pPr>
        <w:pStyle w:val="Requirement"/>
      </w:pPr>
      <w:r>
        <w:rPr>
          <w:b/>
        </w:rPr>
        <w:t xml:space="preserve">4.1 </w:t>
      </w:r>
      <w:r>
        <w:rPr/>
        <w:t xml:space="preserve">Технико-экономические требования к изделию не предъявляются.</w:t>
      </w:r>
    </w:p>
    <w:p>
      <w:pPr>
        <w:pStyle w:val="Heading1"/>
      </w:pPr>
      <w:r>
        <w:rPr/>
        <w:t xml:space="preserve">5 Требования к видам обеспечения</w:t>
      </w:r>
    </w:p>
    <w:p>
      <w:pPr>
        <w:pStyle w:val="Heading2"/>
      </w:pPr>
      <w:r>
        <w:rPr/>
        <w:t xml:space="preserve">5.1 Нормативное обеспечение</w:t>
      </w:r>
    </w:p>
    <w:p>
      <w:pPr>
        <w:pStyle w:val="Requirement"/>
      </w:pPr>
      <w:r>
        <w:rPr>
          <w:b/>
        </w:rPr>
        <w:t xml:space="preserve">5.1.1 </w:t>
      </w:r>
      <w:r>
        <w:rPr/>
        <w:t xml:space="preserve">При разработке и проверке изделия должны применяться документы, перечисленные в перечне применимых нормативных и справочных документов, в части, прямо относящейся к требованиям настоящего ТЗ.</w:t>
      </w:r>
    </w:p>
    <w:p>
      <w:pPr>
        <w:pStyle w:val="Heading2"/>
      </w:pPr>
      <w:r>
        <w:rPr/>
        <w:t xml:space="preserve">5.2 Метрологическое обеспечение</w:t>
      </w:r>
    </w:p>
    <w:p>
      <w:pPr>
        <w:pStyle w:val="Requirement"/>
      </w:pPr>
      <w:r>
        <w:rPr>
          <w:b/>
        </w:rPr>
        <w:t xml:space="preserve">5.2.1 </w:t>
      </w:r>
      <w:r>
        <w:rPr/>
        <w:t xml:space="preserve">Должны быть предусмотрены средства и методики измерения формы и амплитуды импульсов по ITU-T G.703, возвратных потерь трактов 75 Ом, джиттера по ITU-T G.823 и BER.</w:t>
      </w:r>
    </w:p>
    <w:p>
      <w:pPr/>
      <w:r>
        <w:rPr>
          <w:i/>
        </w:rPr>
        <w:t xml:space="preserve">Примечание — Типы средств измерений, их диапазоны и погрешности не заданы. Они должны быть установлены в ПМИ с обеспечением возможности проверки критериев раздела 3; неподтверждённые допуски в настоящее ТЗ не вводятся.</w:t>
      </w:r>
    </w:p>
    <w:p>
      <w:pPr>
        <w:pStyle w:val="Heading2"/>
      </w:pPr>
      <w:r>
        <w:rPr/>
        <w:t xml:space="preserve">5.3 Диагностическое обеспечение</w:t>
      </w:r>
    </w:p>
    <w:p>
      <w:pPr>
        <w:pStyle w:val="Requirement"/>
      </w:pPr>
      <w:r>
        <w:rPr>
          <w:b/>
        </w:rPr>
        <w:t xml:space="preserve">5.3.1 </w:t>
      </w:r>
      <w:r>
        <w:rPr/>
        <w:t xml:space="preserve">Диагностическое обеспечение должно регистрировать LOS/AIS и BPV и формировать сообщения и отчёты для РМО.</w:t>
      </w:r>
    </w:p>
    <w:p>
      <w:pPr>
        <w:pStyle w:val="Heading2"/>
      </w:pPr>
      <w:r>
        <w:rPr/>
        <w:t xml:space="preserve">5.4 Программное обеспечение</w:t>
      </w:r>
    </w:p>
    <w:p>
      <w:pPr>
        <w:pStyle w:val="Requirement"/>
      </w:pPr>
      <w:r>
        <w:rPr>
          <w:b/>
        </w:rPr>
        <w:t xml:space="preserve">5.4.1 </w:t>
      </w:r>
      <w:r>
        <w:rPr/>
        <w:t xml:space="preserve">В составе программного обеспечения должны быть разработаны bitstream функционального модуля для Flash базовой платы, драйверы Linux и MIB для РМО.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5.1.1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РКД, ПД и ПМИ</w:t>
            </w:r>
          </w:p>
        </w:tc>
        <w:tc>
          <w:tcPr>
            <w:tcW w:w="0" w:type="auto"/>
          </w:tcPr>
          <w:p>
            <w:pPr/>
            <w:r>
              <w:rPr/>
              <w:t xml:space="preserve">Ссылки и применимые проверки охватывают все документы из нормативного перечня в пределах требований ТЗ.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5.2.1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и демонстрация измерений</w:t>
            </w:r>
          </w:p>
        </w:tc>
        <w:tc>
          <w:tcPr>
            <w:tcW w:w="0" w:type="auto"/>
          </w:tcPr>
          <w:p>
            <w:pPr/>
            <w:r>
              <w:rPr/>
              <w:t xml:space="preserve">Предусмотренные средства и методики позволяют измерить форму и амплитуду импульсов, возвратные потери 75 Ом, джиттер и BER с критериями раздела 3.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5.3.1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LOS/AIS и BPV регистрируются; сообщения и отчёты доступны РМО.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5.4.1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комплектности и 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Поставлены bitstream для Flash, драйверы Linux и MIB; их работоспособность с изделием продемонстрирована.</w:t>
            </w:r>
          </w:p>
        </w:tc>
      </w:tr>
    </w:tbl>
    <w:p>
      <w:pPr/>
    </w:p>
    <w:p>
      <w:pPr>
        <w:pStyle w:val="Heading1"/>
      </w:pPr>
      <w:r>
        <w:rPr/>
        <w:t xml:space="preserve">6 Требования к сырью, материалам и комплектующим изделиям</w:t>
      </w:r>
    </w:p>
    <w:p>
      <w:pPr>
        <w:pStyle w:val="Requirement"/>
      </w:pPr>
      <w:r>
        <w:rPr>
          <w:b/>
        </w:rPr>
        <w:t xml:space="preserve">6.1 </w:t>
      </w:r>
      <w:r>
        <w:rPr/>
        <w:t xml:space="preserve">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pStyle w:val="Requirement"/>
      </w:pPr>
      <w:r>
        <w:rPr>
          <w:b/>
        </w:rPr>
        <w:t xml:space="preserve">6.2 </w:t>
      </w:r>
      <w:r>
        <w:rPr/>
        <w:t xml:space="preserve">При отсутствии отечественных аналогов допускается применять импортную ЭКБ промышленного температурного диапазона.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6.1–6.2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 перечней элементов, документов закупки и приёмки</w:t>
            </w:r>
          </w:p>
        </w:tc>
        <w:tc>
          <w:tcPr>
            <w:tcW w:w="0" w:type="auto"/>
          </w:tcPr>
          <w:p>
            <w:pPr/>
            <w:r>
              <w:rPr/>
              <w:t xml:space="preserve">Для применённых материалов и комплектующих документирована приёмка ОТК; отечественные позиции имеют приоритет, а для импортной ЭКБ подтверждены отсутствие отечественного аналога и промышленный температурный диапазон.</w:t>
            </w:r>
          </w:p>
        </w:tc>
      </w:tr>
    </w:tbl>
    <w:p>
      <w:pPr/>
    </w:p>
    <w:p>
      <w:pPr>
        <w:pStyle w:val="Heading1"/>
      </w:pPr>
      <w:r>
        <w:rPr/>
        <w:t xml:space="preserve">7 Требования к консервации, упаковке и маркировке</w:t>
      </w:r>
    </w:p>
    <w:p>
      <w:pPr>
        <w:pStyle w:val="Requirement"/>
      </w:pPr>
      <w:r>
        <w:rPr>
          <w:b/>
        </w:rPr>
        <w:t xml:space="preserve">7.1 </w:t>
      </w:r>
      <w:r>
        <w:rPr/>
        <w:t xml:space="preserve">На изделии должны быть нанесены децимальный номер, серийный номер, ревизия и маркировка портов E2-1, E2-2, E3-1.</w:t>
      </w:r>
    </w:p>
    <w:p>
      <w:pPr>
        <w:pStyle w:val="Requirement"/>
      </w:pPr>
      <w:r>
        <w:rPr>
          <w:b/>
        </w:rPr>
        <w:t xml:space="preserve">7.2 </w:t>
      </w:r>
      <w:r>
        <w:rPr/>
        <w:t xml:space="preserve">Каждое изделие должно поставляться в индивидуальной таре с ESD-защитой.</w:t>
      </w:r>
    </w:p>
    <w:p>
      <w:pPr>
        <w:pStyle w:val="Requirement"/>
      </w:pPr>
      <w:r>
        <w:rPr>
          <w:b/>
        </w:rPr>
        <w:t xml:space="preserve">7.3 </w:t>
      </w:r>
      <w:r>
        <w:rPr/>
        <w:t xml:space="preserve">Срок хранения изделия в заводской таре должен быть не менее 1 года по ГОСТ 15150.</w:t>
      </w:r>
    </w:p>
    <w:p>
      <w:pPr/>
      <w:r>
        <w:rPr>
          <w:i/>
        </w:rPr>
        <w:t xml:space="preserve">Примечание — Дополнительные условия и способы консервации в исходных данных не заданы и настоящим ТЗ не устанавливаются.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7.1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</w:t>
            </w:r>
          </w:p>
        </w:tc>
        <w:tc>
          <w:tcPr>
            <w:tcW w:w="0" w:type="auto"/>
          </w:tcPr>
          <w:p>
            <w:pPr/>
            <w:r>
              <w:rPr/>
              <w:t xml:space="preserve">Маркировка содержит децимальный и серийный номера, ревизию и обозначения E2-1, E2-2, E3-1; сами значения номеров и ревизии должны быть установлены в РКД.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7.2</w:t>
            </w:r>
          </w:p>
        </w:tc>
        <w:tc>
          <w:tcPr>
            <w:tcW w:w="0" w:type="auto"/>
          </w:tcPr>
          <w:p>
            <w:pPr/>
            <w:r>
              <w:rPr/>
              <w:t xml:space="preserve">Инспекция</w:t>
            </w:r>
          </w:p>
        </w:tc>
        <w:tc>
          <w:tcPr>
            <w:tcW w:w="0" w:type="auto"/>
          </w:tcPr>
          <w:p>
            <w:pPr/>
            <w:r>
              <w:rPr/>
              <w:t xml:space="preserve">Каждое изделие находится в отдельной таре, заявленной как обеспечивающая ESD-защиту.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7.3</w:t>
            </w:r>
          </w:p>
        </w:tc>
        <w:tc>
          <w:tcPr>
            <w:tcW w:w="0" w:type="auto"/>
          </w:tcPr>
          <w:p>
            <w:pPr/>
            <w:r>
              <w:rPr/>
              <w:t xml:space="preserve">Анализ документации и испытание, если предусмотрено ПМИ</w:t>
            </w:r>
          </w:p>
        </w:tc>
        <w:tc>
          <w:tcPr>
            <w:tcW w:w="0" w:type="auto"/>
          </w:tcPr>
          <w:p>
            <w:pPr/>
            <w:r>
              <w:rPr/>
              <w:t xml:space="preserve">Документация и результаты подтверждают хранение в заводской таре ≥1 года по ГОСТ 15150. Условия хранения по ГОСТ 15150 не выбраны в исходных данных и подлежат уточнению до завершения ПМИ.</w:t>
            </w:r>
          </w:p>
        </w:tc>
      </w:tr>
    </w:tbl>
    <w:p>
      <w:pPr/>
    </w:p>
    <w:p>
      <w:pPr>
        <w:pStyle w:val="Heading1"/>
      </w:pPr>
      <w:r>
        <w:rPr/>
        <w:t xml:space="preserve">8 Специальные требования</w:t>
      </w:r>
    </w:p>
    <w:p>
      <w:pPr>
        <w:pStyle w:val="Requirement"/>
      </w:pPr>
      <w:r>
        <w:rPr>
          <w:b/>
        </w:rPr>
        <w:t xml:space="preserve">8.1 </w:t>
      </w:r>
      <w:r>
        <w:rPr/>
        <w:t xml:space="preserve">Телеметрия РМО на C++/Qt должна содержать мнемосхему портов и отображать LOS/AIS, BPV, состояние SAToP/E2oP и выбранный источник тактирования.</w:t>
      </w:r>
    </w:p>
    <w:p>
      <w:pPr>
        <w:pStyle w:val="Requirement"/>
      </w:pPr>
      <w:r>
        <w:rPr>
          <w:b/>
        </w:rPr>
        <w:t xml:space="preserve">8.2 </w:t>
      </w:r>
      <w:r>
        <w:rPr/>
        <w:t xml:space="preserve">РМО должно обеспечивать команды включения и отключения передатчиков, настройки джиттер-буфера, управления петлями и PRBS.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Требование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Метод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Критерий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8.1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На мнемосхеме для E2-1, E2-2 и E3-1 отображаются LOS/AIS, BPV, SAToP/E2oP и источник тактирования; состояния сопоставляются с внесёнными воздействиями.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8.2</w:t>
            </w:r>
          </w:p>
        </w:tc>
        <w:tc>
          <w:tcPr>
            <w:tcW w:w="0" w:type="auto"/>
          </w:tcPr>
          <w:p>
            <w:pPr/>
            <w:r>
              <w:rPr/>
              <w:t xml:space="preserve">Функциональное испытание</w:t>
            </w:r>
          </w:p>
        </w:tc>
        <w:tc>
          <w:tcPr>
            <w:tcW w:w="0" w:type="auto"/>
          </w:tcPr>
          <w:p>
            <w:pPr/>
            <w:r>
              <w:rPr/>
              <w:t xml:space="preserve">Из РМО выполняются включение/отключение каждого передатчика, установка граничных значений джиттер-буфера 1 и 64 мс, включение каждой из трёх петель и управление генератором/анализатором PRBS 2^23−1.</w:t>
            </w:r>
          </w:p>
        </w:tc>
      </w:tr>
    </w:tbl>
    <w:p>
      <w:pPr/>
    </w:p>
    <w:p>
      <w:r>
        <w:br w:type="page"/>
      </w:r>
    </w:p>
    <w:p>
      <w:pPr>
        <w:jc w:val="center"/>
      </w:pPr>
      <w:r>
        <w:rPr>
          <w:b/>
        </w:rPr>
        <w:t xml:space="preserve">ПОДПИСИ РАЗРАБОТЧИКОВ И СОГЛАСУЮЩИХ ОРГАНИЗАЦИЙ</w:t>
      </w:r>
    </w:p>
    <w:p>
      <w:pPr/>
      <w:r>
        <w:rPr>
          <w:b/>
        </w:rPr>
        <w:t xml:space="preserve">Разработчик ТЗ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Должность, организация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Инициалы, фамилия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[должность — уточнить], ООО «тушканчик»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</w:tbl>
    <w:p>
      <w:pPr/>
    </w:p>
    <w:p>
      <w:pPr/>
      <w:r>
        <w:rPr>
          <w:b/>
        </w:rPr>
        <w:t xml:space="preserve">СОГЛАСОВАНО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autofit"/>
      </w:tblPr>
      <w:tr>
        <w:tc>
          <w:tcPr>
            <w:tcW w:w="0" w:type="auto"/>
          </w:tcPr>
          <w:p>
            <w:pPr/>
            <w:r>
              <w:rPr>
                <w:b/>
              </w:rPr>
              <w:t xml:space="preserve">Роль / организация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Должность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Подпись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Инициалы, фамилия</w:t>
            </w:r>
          </w:p>
        </w:tc>
        <w:tc>
          <w:tcPr>
            <w:tcW w:w="0" w:type="auto"/>
          </w:tcPr>
          <w:p>
            <w:pPr/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Головной исполнитель ОКР — 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  <w:tr>
        <w:tc>
          <w:tcPr>
            <w:tcW w:w="0" w:type="auto"/>
          </w:tcPr>
          <w:p>
            <w:pPr/>
            <w:r>
              <w:rPr/>
              <w:t xml:space="preserve">Другие организации — [уточнить необходимость]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—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  <w:tc>
          <w:tcPr>
            <w:tcW w:w="0" w:type="auto"/>
          </w:tcPr>
          <w:p>
            <w:pPr/>
            <w:r>
              <w:rPr/>
              <w:t xml:space="preserve">[уточнить]</w:t>
            </w:r>
          </w:p>
        </w:tc>
      </w:tr>
    </w:tbl>
    <w:p>
      <w:pPr/>
    </w:p>
    <w:sectPr>
      <w:headerReference w:type="default" r:id="rId2"/>
      <w:titlePg/>
      <w:pgSz w:w="11906" w:h="16838"/>
      <w:pgMar w:top="1134" w:right="850" w:bottom="1134" w:left="1417"/>
      <w:pgNumType w:start="1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Heading3">
    <w:name w:val="heading 3"/>
    <w:basedOn w:val="Normal"/>
    <w:rPr>
      <w:b/>
    </w:rPr>
  </w:style>
  <w:style w:type="paragraph" w:styleId="Requirement">
    <w:name w:val="Requirement"/>
    <w:basedOn w:val="Normal"/>
    <w:pPr>
      <w:ind w:left="284" w:hanging="284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Техническое задание на разработку субплаты E2/E3 и функционального модуля PDH</dc:title>
  <dc:creator>ООО «тушканчик»</dc:creator>
</cp:coreProperties>
</file>