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СОГЛАСОВАНО Заказчик (НИО заказчика): [уточнить] ________________ / [уточнить] / «___» __________ 20__ г.</w:t>
            </w:r>
          </w:p>
        </w:tc>
        <w:tc>
          <w:tcPr>
            <w:tcW w:w="3000" w:type="dxa"/>
          </w:tcPr>
          <w:p>
            <w:r>
              <w:t xml:space="preserve">СОГЛАСОВАНО Исполнитель составной части ОКР: ООО «тушканчик» ________________ / [уточнить] / «___» __________ 20__ г.</w:t>
            </w:r>
          </w:p>
        </w:tc>
        <w:tc>
          <w:tcPr>
            <w:tcW w:w="3000" w:type="dxa"/>
          </w:tcPr>
          <w:p>
            <w:r>
              <w:t xml:space="preserve">УТВЕРЖДАЮ Головной исполнитель ОКР: [уточнить] ________________ / [уточнить] / «___» __________ 20__ г.</w:t>
            </w:r>
          </w:p>
        </w:tc>
      </w:tr>
      <w:tr>
        <w:tc>
          <w:tcPr>
            <w:tcW w:w="3000" w:type="dxa"/>
          </w:tcPr>
          <w:p>
            <w:r>
              <w:t xml:space="preserve">СОГЛАСОВАНО Исполнитель составной части ОКР: ООО «тушканчик» ________________ / [уточнить] / «___» __________ 20__ г.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</w:tbl>
    <w:p>
      <w:pPr>
        <w:pStyle w:val="Heading1"/>
        <w:jc w:val="center"/>
      </w:pPr>
      <w:r>
        <w:t xml:space="preserve">ТЕХНИЧЕСКОЕ ЗАДАНИЕ НА СОСТАВНУЮ ЧАСТЬ ОПЫТНО-КОНСТРУКТОРСКОЙ РАБОТЫ</w:t>
      </w:r>
    </w:p>
    <w:p>
      <w:r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r>
        <w:t xml:space="preserve">Шифр ОКР «Развитие-ТСА»</w:t>
      </w:r>
    </w:p>
    <w:p>
      <w:r>
        <w:t xml:space="preserve">Обозначение составной части изделия: [уточнить]</w:t>
      </w:r>
    </w:p>
    <w:p>
      <w:r>
        <w:t xml:space="preserve">Проект. Действует с дополнением: не применяется.</w:t>
      </w:r>
    </w:p>
    <w:p>
      <w:r>
        <w:br w:type="page"/>
      </w:r>
    </w:p>
    <w:p>
      <w:pPr>
        <w:pStyle w:val="Heading1"/>
        <w:jc w:val="center"/>
      </w:pPr>
      <w:r>
        <w:t xml:space="preserve">ТЕРМИНЫ, ОБОЗНАЧЕНИЯ И СОКРАЩЕНИЯ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</w:rPr>
              <w:t xml:space="preserve">Термин / сокращение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Значение в настоящем ТЗ</w:t>
            </w:r>
          </w:p>
        </w:tc>
      </w:tr>
      <w:tr>
        <w:tc>
          <w:tcPr>
            <w:tcW w:w="4500" w:type="dxa"/>
          </w:tcPr>
          <w:p>
            <w:r>
              <w:t xml:space="preserve">AMC</w:t>
            </w:r>
          </w:p>
        </w:tc>
        <w:tc>
          <w:tcPr>
            <w:tcW w:w="4500" w:type="dxa"/>
          </w:tcPr>
          <w:p>
            <w:r>
              <w:t xml:space="preserve">Модуль форм-фактора AMC.0, устанавливаемый на Carrier платформы ДММП.</w:t>
            </w:r>
          </w:p>
        </w:tc>
      </w:tr>
      <w:tr>
        <w:tc>
          <w:tcPr>
            <w:tcW w:w="4500" w:type="dxa"/>
          </w:tcPr>
          <w:p>
            <w:r>
              <w:t xml:space="preserve">ПЛИС</w:t>
            </w:r>
          </w:p>
        </w:tc>
        <w:tc>
          <w:tcPr>
            <w:tcW w:w="4500" w:type="dxa"/>
          </w:tcPr>
          <w:p>
            <w:r>
              <w:t xml:space="preserve">Логическая часть базовой платы, выполняющая преобразование частоты RX_CLK в 19,44 МГц для TCLK и использующая функциональный модуль PDH.</w:t>
            </w:r>
          </w:p>
        </w:tc>
      </w:tr>
      <w:tr>
        <w:tc>
          <w:tcPr>
            <w:tcW w:w="4500" w:type="dxa"/>
          </w:tcPr>
          <w:p>
            <w:r>
              <w:t xml:space="preserve">B2B</w:t>
            </w:r>
          </w:p>
        </w:tc>
        <w:tc>
          <w:tcPr>
            <w:tcW w:w="4500" w:type="dxa"/>
          </w:tcPr>
          <w:p>
            <w:r>
              <w:t xml:space="preserve">Межплатное соединение субплаты с базовой платой.</w:t>
            </w:r>
          </w:p>
        </w:tc>
      </w:tr>
      <w:tr>
        <w:tc>
          <w:tcPr>
            <w:tcW w:w="4500" w:type="dxa"/>
          </w:tcPr>
          <w:p>
            <w:r>
              <w:t xml:space="preserve">Board ID</w:t>
            </w:r>
          </w:p>
        </w:tc>
        <w:tc>
          <w:tcPr>
            <w:tcW w:w="4500" w:type="dxa"/>
          </w:tcPr>
          <w:p>
            <w:r>
              <w:t xml:space="preserve">Идентификатор субплаты в EEPROM; для изделия — 0x03. По нему базовая плата автоматически активирует функциональный модуль PDH.</w:t>
            </w:r>
          </w:p>
        </w:tc>
      </w:tr>
      <w:tr>
        <w:tc>
          <w:tcPr>
            <w:tcW w:w="4500" w:type="dxa"/>
          </w:tcPr>
          <w:p>
            <w:r>
              <w:t xml:space="preserve">MMC</w:t>
            </w:r>
          </w:p>
        </w:tc>
        <w:tc>
          <w:tcPr>
            <w:tcW w:w="4500" w:type="dxa"/>
          </w:tcPr>
          <w:p>
            <w:r>
              <w:t xml:space="preserve">Интерфейс, предоставляемый базовой платой субплате.</w:t>
            </w:r>
          </w:p>
        </w:tc>
      </w:tr>
      <w:tr>
        <w:tc>
          <w:tcPr>
            <w:tcW w:w="4500" w:type="dxa"/>
          </w:tcPr>
          <w:p>
            <w:r>
              <w:t xml:space="preserve">РМО</w:t>
            </w:r>
          </w:p>
        </w:tc>
        <w:tc>
          <w:tcPr>
            <w:tcW w:w="4500" w:type="dxa"/>
          </w:tcPr>
          <w:p>
            <w:r>
              <w:t xml:space="preserve">Средства, для которых формируются диагностические сообщения и отчеты; телеметрия реализуется в РМО (C++/Qt).</w:t>
            </w:r>
          </w:p>
        </w:tc>
      </w:tr>
      <w:tr>
        <w:tc>
          <w:tcPr>
            <w:tcW w:w="4500" w:type="dxa"/>
          </w:tcPr>
          <w:p>
            <w:r>
              <w:t xml:space="preserve">ОКР</w:t>
            </w:r>
          </w:p>
        </w:tc>
        <w:tc>
          <w:tcPr>
            <w:tcW w:w="4500" w:type="dxa"/>
          </w:tcPr>
          <w:p>
            <w:r>
              <w:t xml:space="preserve">Опытно-конструкторская работа.</w:t>
            </w:r>
          </w:p>
        </w:tc>
      </w:tr>
      <w:tr>
        <w:tc>
          <w:tcPr>
            <w:tcW w:w="4500" w:type="dxa"/>
          </w:tcPr>
          <w:p>
            <w:r>
              <w:t xml:space="preserve">РКД</w:t>
            </w:r>
          </w:p>
        </w:tc>
        <w:tc>
          <w:tcPr>
            <w:tcW w:w="4500" w:type="dxa"/>
          </w:tcPr>
          <w:p>
            <w:r>
              <w:t xml:space="preserve">Рабочая конструкторская документация — совокупность конструкторских документов, предназначенных для изготовления, контроля, приемки, поставки, эксплуатации и ремонта изделия.</w:t>
            </w:r>
          </w:p>
        </w:tc>
      </w:tr>
      <w:tr>
        <w:tc>
          <w:tcPr>
            <w:tcW w:w="4500" w:type="dxa"/>
          </w:tcPr>
          <w:p>
            <w:r>
              <w:t xml:space="preserve">ПМИ</w:t>
            </w:r>
          </w:p>
        </w:tc>
        <w:tc>
          <w:tcPr>
            <w:tcW w:w="4500" w:type="dxa"/>
          </w:tcPr>
          <w:p>
            <w:r>
              <w:t xml:space="preserve">Программа и методика испытаний.</w:t>
            </w:r>
          </w:p>
        </w:tc>
      </w:tr>
      <w:tr>
        <w:tc>
          <w:tcPr>
            <w:tcW w:w="4500" w:type="dxa"/>
          </w:tcPr>
          <w:p>
            <w:r>
              <w:t xml:space="preserve">PDH</w:t>
            </w:r>
          </w:p>
        </w:tc>
        <w:tc>
          <w:tcPr>
            <w:tcW w:w="4500" w:type="dxa"/>
          </w:tcPr>
          <w:p>
            <w:r>
              <w:t xml:space="preserve">Обозначение функционального модуля и трактов, используемое в исходных требованиях; расшифровка обозначения: [уточнить].</w:t>
            </w:r>
          </w:p>
        </w:tc>
      </w:tr>
      <w:tr>
        <w:tc>
          <w:tcPr>
            <w:tcW w:w="4500" w:type="dxa"/>
          </w:tcPr>
          <w:p>
            <w:r>
              <w:t xml:space="preserve">E2, E3</w:t>
            </w:r>
          </w:p>
        </w:tc>
        <w:tc>
          <w:tcPr>
            <w:tcW w:w="4500" w:type="dxa"/>
          </w:tcPr>
          <w:p>
            <w:r>
              <w:t xml:space="preserve">Интерфейсные потоки изделия: два независимых E2 и один E3.</w:t>
            </w:r>
          </w:p>
        </w:tc>
      </w:tr>
      <w:tr>
        <w:tc>
          <w:tcPr>
            <w:tcW w:w="4500" w:type="dxa"/>
          </w:tcPr>
          <w:p>
            <w:r>
              <w:t xml:space="preserve">LIU</w:t>
            </w:r>
          </w:p>
        </w:tc>
        <w:tc>
          <w:tcPr>
            <w:tcW w:w="4500" w:type="dxa"/>
          </w:tcPr>
          <w:p>
            <w:r>
              <w:t xml:space="preserve">Обозначение элемента субплаты; расшифровка: [уточнить].</w:t>
            </w:r>
          </w:p>
        </w:tc>
      </w:tr>
      <w:tr>
        <w:tc>
          <w:tcPr>
            <w:tcW w:w="4500" w:type="dxa"/>
          </w:tcPr>
          <w:p>
            <w:r>
              <w:t xml:space="preserve">HDB3</w:t>
            </w:r>
          </w:p>
        </w:tc>
        <w:tc>
          <w:tcPr>
            <w:tcW w:w="4500" w:type="dxa"/>
          </w:tcPr>
          <w:p>
            <w:r>
              <w:t xml:space="preserve">Код линейного сигнала E2 и E3.</w:t>
            </w:r>
          </w:p>
        </w:tc>
      </w:tr>
      <w:tr>
        <w:tc>
          <w:tcPr>
            <w:tcW w:w="4500" w:type="dxa"/>
          </w:tcPr>
          <w:p>
            <w:r>
              <w:t xml:space="preserve">SAToP, E2oP</w:t>
            </w:r>
          </w:p>
        </w:tc>
        <w:tc>
          <w:tcPr>
            <w:tcW w:w="4500" w:type="dxa"/>
          </w:tcPr>
          <w:p>
            <w:r>
              <w:t xml:space="preserve">Обозначения пакетной передачи: SAToP применяется для E3 по RFC 4553; E2oP — для E2 на архитектуре SAToP.</w:t>
            </w:r>
          </w:p>
        </w:tc>
      </w:tr>
      <w:tr>
        <w:tc>
          <w:tcPr>
            <w:tcW w:w="4500" w:type="dxa"/>
          </w:tcPr>
          <w:p>
            <w:r>
              <w:t xml:space="preserve">TCLK, RX_CLK</w:t>
            </w:r>
          </w:p>
        </w:tc>
        <w:tc>
          <w:tcPr>
            <w:tcW w:w="4500" w:type="dxa"/>
          </w:tcPr>
          <w:p>
            <w:r>
              <w:t xml:space="preserve">Соответственно тактирование 19,44 МГц базовой платы и выходная частота любого входного порта.</w:t>
            </w:r>
          </w:p>
        </w:tc>
      </w:tr>
      <w:tr>
        <w:tc>
          <w:tcPr>
            <w:tcW w:w="4500" w:type="dxa"/>
          </w:tcPr>
          <w:p>
            <w:r>
              <w:t xml:space="preserve">ACR/DCR, DPLL, LOS, AIS, BPV, CV, PRBS, BER, QoS, MIB, ESD, ОТК, ЭКБ</w:t>
            </w:r>
          </w:p>
        </w:tc>
        <w:tc>
          <w:tcPr>
            <w:tcW w:w="4500" w:type="dxa"/>
          </w:tcPr>
          <w:p>
            <w:r>
              <w:t xml:space="preserve">Обозначения, примененные в исходных требованиях. Их полные расшифровки: [уточнить]; смысл и требования к ним установлены в соответствующих пунктах настоящего ТЗ.</w:t>
            </w:r>
          </w:p>
        </w:tc>
      </w:tr>
    </w:tbl>
    <w:p>
      <w:pPr>
        <w:pStyle w:val="Heading1"/>
        <w:jc w:val="center"/>
      </w:pPr>
      <w:r>
        <w:t xml:space="preserve">ПЕРЕЧЕНЬ ПРИМЕНИМЫХ НОРМАТИВНЫХ И СПРАВОЧНЫХ ДОКУМЕНТОВ</w:t>
      </w:r>
    </w:p>
    <w:p>
      <w:r>
        <w:t xml:space="preserve">При разработке применяют следующие документы: ITU-T G.703; ITU-T G.704; ITU-T G.751; ITU-T G.823; RFC 4553; PICMG AMC.0 R2.0; ГОСТ РВ 20.39.304-98; ГОСТ В 25803-91; ГОСТ 2.114-2016; ГОСТ РВ 15.201-2003; ГОСТ 15150.</w:t>
      </w:r>
    </w:p>
    <w:p>
      <w:r>
        <w:t xml:space="preserve">Для построения и оформления настоящего ТЗ на составную часть ОКР применены ГОСТ 15.016-2016, разделы 6.1, 6.2 и 7.1; в части общего оформления текстового документа — ГОСТ 2.105-95 и формата листов — ГОСТ 2.301-68 в соответствии с ГОСТ 15.016-2016, 6.2.1.</w:t>
      </w:r>
    </w:p>
    <w:p>
      <w:pPr>
        <w:pStyle w:val="Heading1"/>
        <w:jc w:val="center"/>
      </w:pPr>
      <w:r>
        <w:t xml:space="preserve">1. Наименование, шифр, основание, исполнители и сроки ОКР</w:t>
      </w:r>
    </w:p>
    <w:p>
      <w:r>
        <w:t xml:space="preserve">Наименование работы: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r>
        <w:t xml:space="preserve">Шифр ОКР: «Развитие-ТСА».</w:t>
      </w:r>
    </w:p>
    <w:p>
      <w:r>
        <w:t xml:space="preserve">Основание для выполнения: приказ об открытии инициативной ОКР № [уточнить] от [уточнить].</w:t>
      </w:r>
    </w:p>
    <w:p>
      <w:r>
        <w:t xml:space="preserve">Исполнитель составной части ОКР: ООО «тушканчик».</w:t>
      </w:r>
    </w:p>
    <w:p>
      <w:r>
        <w:t xml:space="preserve">Сроки выполнения ОКР и ее составной части должны быть увязаны с утвержденным планом-графиком разработки РКД, программной документации, изготовления образцов и испытаний. Календарные даты не заданы и подлежат установлению утвержденным планом-графиком.</w:t>
      </w:r>
    </w:p>
    <w:p>
      <w:pPr>
        <w:pStyle w:val="Heading1"/>
        <w:jc w:val="center"/>
      </w:pPr>
      <w:r>
        <w:t xml:space="preserve">2. Цель выполнения, наименование, назначение и область применения изделия</w:t>
      </w:r>
    </w:p>
    <w:p>
      <w:r>
        <w:t xml:space="preserve">Цель — разработать сменную интерфейсную субплату E2/E3 и функциональный модуль PDH для подключения двух независимых потоков E2 и одного E3 к платформе ДММП через коаксиальные линии, с обеспечением TDM-over-Packet, джиттер-буферизации и синхронизации.</w:t>
      </w:r>
    </w:p>
    <w:p>
      <w:r>
        <w:t xml:space="preserve">Изделие предназначено для установки AMC на Carrier платформы ДММП и применения на PDH-трактах 8 и 34 Мбит/с энергетики, железнодорожного транспорта и магистральных операторов.</w:t>
      </w:r>
    </w:p>
    <w:p>
      <w:r>
        <w:t xml:space="preserve">Аппаратная часть включает субплату, интерфейсы, защиту, трансиверы и EEPROM. Логическая часть — функциональный модуль ПЛИС базовой платы, автоматически активируемый по Board ID.</w:t>
      </w:r>
    </w:p>
    <w:p>
      <w:pPr>
        <w:pStyle w:val="Heading1"/>
        <w:jc w:val="center"/>
      </w:pPr>
      <w:r>
        <w:t xml:space="preserve">3. Технические требования к изделию</w:t>
      </w:r>
    </w:p>
    <w:p>
      <w:pPr>
        <w:pStyle w:val="Heading2"/>
      </w:pPr>
      <w:r>
        <w:t xml:space="preserve">3.1. Архитектура, разъемы и кабели</w:t>
      </w:r>
    </w:p>
    <w:p>
      <w:r>
        <w:t xml:space="preserve">3.1.1. Субплата должна подключаться к базовой плате через B2B и содержать три экранированных вибростойких разъема HARTING PushPull 09452812560 с замковой фиксацией, тракты 75 Ом, ВЧ-трансформаторы, LIU, EEPROM с Board ID 0x03 и светодиоды.</w:t>
      </w:r>
    </w:p>
    <w:p>
      <w:r>
        <w:t xml:space="preserve">3.1.2. Базовая плата должна предоставлять субплате +12 В, +3,3 В, MMC и тактирование, а также автоматически загружать bitstream PDH из Flash.</w:t>
      </w:r>
    </w:p>
    <w:p>
      <w:r>
        <w:t xml:space="preserve">3.1.3. Разъемы E2-1, E2-2 и E3-1 должны каждый обслуживать отдельные коаксиальные цепи TX/RX с сопротивлением 75 Ом.</w:t>
      </w:r>
    </w:p>
    <w:p>
      <w:r>
        <w:t xml:space="preserve">3.1.4. В комплект и РКД должны быть включены экранированные адаптеры HARTING PushPull → две вилки BNC 75 Ом / DIN 1.0/2.3 с маркировкой TX/RX.</w:t>
      </w:r>
    </w:p>
    <w:p>
      <w:r>
        <w:t xml:space="preserve">3.1.5. Применение BNC 50 Ом не допускается по импедансу и габаритам.</w:t>
      </w:r>
    </w:p>
    <w:p>
      <w:r>
        <w:t xml:space="preserve">Проверка. Осмотром и контролем РКД подтвердить состав, количество, тип разъемов, маркировку адаптеров и наличие требуемых элементов; измерением подтвердить сопротивление трактов 75 Ом. Для автоматической активации проверить Board ID 0x03 и загрузку bitstream PDH из Flash. Допуски измерения сопротивления не заданы и подлежат установлению в ПМИ.</w:t>
      </w:r>
    </w:p>
    <w:p>
      <w:pPr>
        <w:pStyle w:val="Heading2"/>
      </w:pPr>
      <w:r>
        <w:t xml:space="preserve">3.2. Электрические параметры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E2 (два порта)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3000" w:type="dxa"/>
          </w:tcPr>
          <w:p>
            <w:r>
              <w:t xml:space="preserve">Скорость</w:t>
            </w:r>
          </w:p>
        </w:tc>
        <w:tc>
          <w:tcPr>
            <w:tcW w:w="3000" w:type="dxa"/>
          </w:tcPr>
          <w:p>
            <w:r>
              <w:t xml:space="preserve">8448 кбит/с (8,448 Мбит/с) ±30 ppm</w:t>
            </w:r>
          </w:p>
        </w:tc>
        <w:tc>
          <w:tcPr>
            <w:tcW w:w="3000" w:type="dxa"/>
          </w:tcPr>
          <w:p>
            <w:r>
              <w:t xml:space="preserve">34 368 кбит/с (34,368 Мбит/с) ±20 ppm</w:t>
            </w:r>
          </w:p>
        </w:tc>
      </w:tr>
      <w:tr>
        <w:tc>
          <w:tcPr>
            <w:tcW w:w="3000" w:type="dxa"/>
          </w:tcPr>
          <w:p>
            <w:r>
              <w:t xml:space="preserve">Код и сопротивление</w:t>
            </w:r>
          </w:p>
        </w:tc>
        <w:tc>
          <w:tcPr>
            <w:tcW w:w="3000" w:type="dxa"/>
          </w:tcPr>
          <w:p>
            <w:r>
              <w:t xml:space="preserve">HDB3, 75 Ом</w:t>
            </w:r>
          </w:p>
        </w:tc>
        <w:tc>
          <w:tcPr>
            <w:tcW w:w="3000" w:type="dxa"/>
          </w:tcPr>
          <w:p>
            <w:r>
              <w:t xml:space="preserve">HDB3, 75 Ом</w:t>
            </w:r>
          </w:p>
        </w:tc>
      </w:tr>
      <w:tr>
        <w:tc>
          <w:tcPr>
            <w:tcW w:w="3000" w:type="dxa"/>
          </w:tcPr>
          <w:p>
            <w:r>
              <w:t xml:space="preserve">Пиковое напряжение / длительность</w:t>
            </w:r>
          </w:p>
        </w:tc>
        <w:tc>
          <w:tcPr>
            <w:tcW w:w="3000" w:type="dxa"/>
          </w:tcPr>
          <w:p>
            <w:r>
              <w:t xml:space="preserve">2,37 В / 59 нс</w:t>
            </w:r>
          </w:p>
        </w:tc>
        <w:tc>
          <w:tcPr>
            <w:tcW w:w="3000" w:type="dxa"/>
          </w:tcPr>
          <w:p>
            <w:r>
              <w:t xml:space="preserve">1,0 В / 14,55 нс</w:t>
            </w:r>
          </w:p>
        </w:tc>
      </w:tr>
      <w:tr>
        <w:tc>
          <w:tcPr>
            <w:tcW w:w="3000" w:type="dxa"/>
          </w:tcPr>
          <w:p>
            <w:r>
              <w:t xml:space="preserve">Возвратные потери входа/выхода</w:t>
            </w:r>
          </w:p>
        </w:tc>
        <w:tc>
          <w:tcPr>
            <w:tcW w:w="3000" w:type="dxa"/>
          </w:tcPr>
          <w:p>
            <w:r>
              <w:t xml:space="preserve">≥18 дБ, 422–8448 кГц</w:t>
            </w:r>
          </w:p>
        </w:tc>
        <w:tc>
          <w:tcPr>
            <w:tcW w:w="3000" w:type="dxa"/>
          </w:tcPr>
          <w:p>
            <w:r>
              <w:t xml:space="preserve">≥18 дБ, 1720–34 368 кГц</w:t>
            </w:r>
          </w:p>
        </w:tc>
      </w:tr>
      <w:tr>
        <w:tc>
          <w:tcPr>
            <w:tcW w:w="3000" w:type="dxa"/>
          </w:tcPr>
          <w:p>
            <w:r>
              <w:t xml:space="preserve">Допустимое затухание кабеля</w:t>
            </w:r>
          </w:p>
        </w:tc>
        <w:tc>
          <w:tcPr>
            <w:tcW w:w="3000" w:type="dxa"/>
          </w:tcPr>
          <w:p>
            <w:r>
              <w:t xml:space="preserve">до 6 дБ на 4224 кГц</w:t>
            </w:r>
          </w:p>
        </w:tc>
        <w:tc>
          <w:tcPr>
            <w:tcW w:w="3000" w:type="dxa"/>
          </w:tcPr>
          <w:p>
            <w:r>
              <w:t xml:space="preserve">до 12 дБ на 17 184 кГц</w:t>
            </w:r>
          </w:p>
        </w:tc>
      </w:tr>
    </w:tbl>
    <w:p>
      <w:r>
        <w:t xml:space="preserve">3.2.1. Каждый порт должен иметь трансформаторную гальваноразвязку и импульсную защиту. Структура E2 должна соответствовать G.704, структура E3 — G.751, электрические параметры — G.703.</w:t>
      </w:r>
    </w:p>
    <w:p>
      <w:r>
        <w:t xml:space="preserve">Проверка. Измерением формы и амплитуды импульсов по G.703, скорости, возвратных потерь и допустимого затухания при указанных частотах подтвердить значения таблицы; осмотром и анализом схемы подтвердить гальваноразвязку и импульсную защиту каждого порта. Погрешности измерений не заданы и должны быть установлены в ПМИ.</w:t>
      </w:r>
    </w:p>
    <w:p>
      <w:pPr>
        <w:pStyle w:val="Heading2"/>
      </w:pPr>
      <w:r>
        <w:t xml:space="preserve">3.3. Пакетная передача, синхронизация и диагностика</w:t>
      </w:r>
    </w:p>
    <w:p>
      <w:r>
        <w:t xml:space="preserve">3.3.1. Для E3 должна применяться SAToP по RFC 4553: полный поток с управляющим словом и контролем последовательности. Для E2 должен применяться E2oP на архитектуре SAToP: полный поток с минимальной фиксированной задержкой.</w:t>
      </w:r>
    </w:p>
    <w:p>
      <w:r>
        <w:t xml:space="preserve">3.3.2. Fabric — 10GbE; QoS — Strict Priority. Джиттер-буфер каждого сервиса должен находиться в диапазоне 1–64 мс. Потеря пакетов или авария сети должны вызывать непрерывный AIS на выходе.</w:t>
      </w:r>
    </w:p>
    <w:p>
      <w:r>
        <w:t xml:space="preserve">3.3.3. Тактирование должно включать пересчет TCLK 19,44 МГц в 8,448/34,368 МГц, ACR/DCR, Holdover и Loop timing. Частота любого входного порта должна выдаваться в RX_CLK; ПЛИС/DPLL базовой платы должна преобразовывать ее в 19,44 МГц для TCLK. Джиттер/вандер — по G.823.</w:t>
      </w:r>
    </w:p>
    <w:p>
      <w:r>
        <w:t xml:space="preserve">3.3.4. Должен выполняться контроль LOS, AIS, BPV/CV HDB3, переполнения и опустошения буфера. Для каждого порта должны быть предусмотрены Local Line, Payload и Packet Loopback, а также генератор/анализатор PRBS 2^23−1 для измерения BER.</w:t>
      </w:r>
    </w:p>
    <w:p>
      <w:r>
        <w:t xml:space="preserve">3.3.5. Потребляемая мощность субплаты должна быть не более 15 Вт; мощность сборки — не более 35 Вт.</w:t>
      </w:r>
    </w:p>
    <w:p>
      <w:r>
        <w:t xml:space="preserve">3.3.6. Конструкция: Single Full-size AMC.0, 73,5 × 180,6 × 28,95 мм; межплатное крепление — на 4–6 металлических стойках М2,5.</w:t>
      </w:r>
    </w:p>
    <w:p>
      <w:r>
        <w:t xml:space="preserve">3.3.7. Стойкость должна соответствовать ГОСТ РВ 20.39.304-98, группам 1.1, 1.3, 1.4.1, исполнению «О»: рабочая температура −10…+50 °C, предельная температура −40…+65 °C, синусоидальная вибрация 5g, удары 15g. Радиопомехи — группа 1.1.1 ГОСТ В 25803-91.</w:t>
      </w:r>
    </w:p>
    <w:p>
      <w:r>
        <w:t xml:space="preserve">3.3.8. MTBF должен быть не менее 15 000 ч. Назначенный срок службы должен быть не менее 5 лет.</w:t>
      </w:r>
    </w:p>
    <w:p>
      <w:r>
        <w:t xml:space="preserve">Проверка. Испытаниями и анализом передачи проверить полный поток E3 с управляющим словом и контролем последовательности, E2oP, 10GbE Fabric, Strict Priority QoS и диапазон джиттер-буфера 1–64 мс. При потере пакетов и аварии сети на выходе должен наблюдаться непрерывный AIS. Контролем тактирования подтвердить перечисленные режимы, выдачу частоты входного порта в RX_CLK и преобразование в 19,44 МГц для TCLK; измерить джиттер/вандер по G.823. Проверить индикацию/регистрацию LOS, AIS, BPV/CV, состояний буфера, все петли и PRBS 2^23−1. Измерениями и испытаниями подтвердить мощность, габариты, крепление, стойкость, радиопомехи, MTBF и срок службы. Конкретные методики, условия испытаний и погрешности измерений, не заданные исходными требованиями, должны быть определены в ПМИ.</w:t>
      </w:r>
    </w:p>
    <w:p>
      <w:pPr>
        <w:pStyle w:val="Heading1"/>
        <w:jc w:val="center"/>
      </w:pPr>
      <w:r>
        <w:t xml:space="preserve">4. Технико-экономические требования</w:t>
      </w:r>
    </w:p>
    <w:p>
      <w:r>
        <w:t xml:space="preserve">Технико-экономические требования не предъявляются.</w:t>
      </w:r>
    </w:p>
    <w:p>
      <w:pPr>
        <w:pStyle w:val="Heading1"/>
        <w:jc w:val="center"/>
      </w:pPr>
      <w:r>
        <w:t xml:space="preserve">5. Требования к видам обеспечения</w:t>
      </w:r>
    </w:p>
    <w:p>
      <w:r>
        <w:t xml:space="preserve">5.1 Нормативное обеспечение. Применять документы, приведенные в перечне применимых нормативных и справочных документов настоящего ТЗ.</w:t>
      </w:r>
    </w:p>
    <w:p>
      <w:r>
        <w:t xml:space="preserve">5.2 Метрологическое обеспечение. Предусмотреть средства и методики измерения формы и амплитуды импульсов по G.703, возвратных потерь 75 Ом, джиттера по G.823 и BER. Незаданные допуски не устанавливаются; параметры, необходимые для завершения методик измерений, должны быть определены в ПМИ.</w:t>
      </w:r>
    </w:p>
    <w:p>
      <w:r>
        <w:t xml:space="preserve">5.3 Диагностическое обеспечение. Обеспечить регистрацию LOS/AIS и BPV, формирование сообщений и отчетов для РМО.</w:t>
      </w:r>
    </w:p>
    <w:p>
      <w:r>
        <w:t xml:space="preserve">5.4 Программное обеспечение. Предусмотреть bitstream функционального модуля для Flash базовой платы, драйверы Linux и MIB для РМО.</w:t>
      </w:r>
    </w:p>
    <w:p>
      <w:r>
        <w:t xml:space="preserve">Проверка. Анализом комплекта документации и программных компонентов подтвердить наличие предусмотренных средств и методик, регистрации, сообщений, отчетов, bitstream, драйверов Linux и MIB. Содержание сообщений, отчетов и состав MIB не заданы.</w:t>
      </w:r>
    </w:p>
    <w:p>
      <w:pPr>
        <w:pStyle w:val="Heading1"/>
        <w:jc w:val="center"/>
      </w:pPr>
      <w:r>
        <w:t xml:space="preserve">6. Требования к сырью, материалам и комплектующим изделиям</w:t>
      </w:r>
    </w:p>
    <w:p>
      <w:r>
        <w:t xml:space="preserve">Предусмотреть приоритет отечественных материалов и комплектующих изделий с приемкой ОТК. При отсутствии аналогов допускается применять импортную ЭКБ промышленного температурного диапазона.</w:t>
      </w:r>
    </w:p>
    <w:p>
      <w:r>
        <w:t xml:space="preserve">Проверка. Анализом ведомостей материалов и комплектующих, а также документов приемки подтвердить приоритет отечественных материалов и комплектующих, приемку ОТК и, при применении импортной ЭКБ, отсутствие аналога и промышленный температурный диапазон. Критерий подтверждения отсутствия аналога не задан.</w:t>
      </w:r>
    </w:p>
    <w:p>
      <w:pPr>
        <w:pStyle w:val="Heading1"/>
        <w:jc w:val="center"/>
      </w:pPr>
      <w:r>
        <w:t xml:space="preserve">7. Требования к консервации, упаковке и маркировке</w:t>
      </w:r>
    </w:p>
    <w:p>
      <w:r>
        <w:t xml:space="preserve">7.1. Предусмотреть децимальный и серийный номера, ревизию и маркировку E2-1, E2-2, E3-1.</w:t>
      </w:r>
    </w:p>
    <w:p>
      <w:r>
        <w:t xml:space="preserve">7.2. Предусмотреть индивидуальную тару с ESD-защитой.</w:t>
      </w:r>
    </w:p>
    <w:p>
      <w:r>
        <w:t xml:space="preserve">7.3. Хранение в заводской таре — не менее 1 года по ГОСТ 15150.</w:t>
      </w:r>
    </w:p>
    <w:p>
      <w:r>
        <w:t xml:space="preserve">7.4. Условия консервации не заданы; настоящим ТЗ не устанавливаются.</w:t>
      </w:r>
    </w:p>
    <w:p>
      <w:r>
        <w:t xml:space="preserve">Проверка. Осмотром маркировки и тары подтвердить наличие установленных обозначений и ESD-защиты; анализом документации подтвердить хранение в заводской таре не менее 1 года по ГОСТ 15150. Условия консервации и методы их проверки требуют исходных данных.</w:t>
      </w:r>
    </w:p>
    <w:p>
      <w:pPr>
        <w:pStyle w:val="Heading1"/>
        <w:jc w:val="center"/>
      </w:pPr>
      <w:r>
        <w:t xml:space="preserve">8. Специальные требования</w:t>
      </w:r>
    </w:p>
    <w:p>
      <w:r>
        <w:t xml:space="preserve">8.1. В РМО (C++/Qt) должна быть реализована телеметрия: мнемосхема портов, LOS/AIS, BPV, SAToP/E2oP и источник тактирования.</w:t>
      </w:r>
    </w:p>
    <w:p>
      <w:r>
        <w:t xml:space="preserve">8.2. Должны быть предусмотрены команды включения/отключения передатчиков, настройки джиттер-буфера, управления петлями и PRBS.</w:t>
      </w:r>
    </w:p>
    <w:p>
      <w:r>
        <w:t xml:space="preserve">Проверка. Функциональной проверкой РМО подтвердить отображение всех указанных состояний и источника тактирования; подачей каждой команды подтвердить включение/отключение передатчиков, настройку джиттер-буфера, управление петлями и PRBS. Формат команд, интерфейс и критерии представления мнемосхемы не заданы.</w:t>
      </w:r>
    </w:p>
    <w:p>
      <w:r>
        <w:br w:type="page"/>
      </w:r>
    </w:p>
    <w:p>
      <w:pPr>
        <w:pStyle w:val="Heading1"/>
        <w:jc w:val="center"/>
      </w:pPr>
      <w:r>
        <w:t xml:space="preserve">ЛИСТ СОГЛАСОВАНИЯ И ПОДПИСЕЙ</w:t>
      </w:r>
    </w:p>
    <w:p>
      <w:r>
        <w:t xml:space="preserve">Лист оформлен для ТЗ на составную часть ОКР в соответствии с ГОСТ 15.016-2016, 7.1.3. Согласующие подписи иных организаций размещают после подписей разработчиков при их определении.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</w:rPr>
              <w:t xml:space="preserve">Организация / роль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Должность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Подпись, инициалы, фамилия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250" w:type="dxa"/>
          </w:tcPr>
          <w:p>
            <w:r>
              <w:t xml:space="preserve">ООО «тушканчик» — разработчик ТЗ / исполнитель составной части ОКР</w:t>
            </w:r>
          </w:p>
        </w:tc>
        <w:tc>
          <w:tcPr>
            <w:tcW w:w="2250" w:type="dxa"/>
          </w:tcPr>
          <w:p>
            <w:r>
              <w:t xml:space="preserve">[уточнить]</w:t>
            </w:r>
          </w:p>
        </w:tc>
        <w:tc>
          <w:tcPr>
            <w:tcW w:w="2250" w:type="dxa"/>
          </w:tcPr>
          <w:p>
            <w:r>
              <w:t xml:space="preserve">________________ / [уточнить] /</w:t>
            </w:r>
          </w:p>
        </w:tc>
        <w:tc>
          <w:tcPr>
            <w:tcW w:w="2250" w:type="dxa"/>
          </w:tcPr>
          <w:p>
            <w:r>
              <w:t xml:space="preserve">«___» ________ 20__ г.</w:t>
            </w:r>
          </w:p>
        </w:tc>
      </w:tr>
      <w:tr>
        <w:tc>
          <w:tcPr>
            <w:tcW w:w="2250" w:type="dxa"/>
          </w:tcPr>
          <w:p>
            <w:r>
              <w:t xml:space="preserve">Заказчик (НИО заказчика)</w:t>
            </w:r>
          </w:p>
        </w:tc>
        <w:tc>
          <w:tcPr>
            <w:tcW w:w="2250" w:type="dxa"/>
          </w:tcPr>
          <w:p>
            <w:r>
              <w:t xml:space="preserve">[уточнить]</w:t>
            </w:r>
          </w:p>
        </w:tc>
        <w:tc>
          <w:tcPr>
            <w:tcW w:w="2250" w:type="dxa"/>
          </w:tcPr>
          <w:p>
            <w:r>
              <w:t xml:space="preserve">________________ / [уточнить] /</w:t>
            </w:r>
          </w:p>
        </w:tc>
        <w:tc>
          <w:tcPr>
            <w:tcW w:w="2250" w:type="dxa"/>
          </w:tcPr>
          <w:p>
            <w:r>
              <w:t xml:space="preserve">«___» ________ 20__ г.</w:t>
            </w:r>
          </w:p>
        </w:tc>
      </w:tr>
      <w:tr>
        <w:tc>
          <w:tcPr>
            <w:tcW w:w="2250" w:type="dxa"/>
          </w:tcPr>
          <w:p>
            <w:r>
              <w:t xml:space="preserve">Головной исполнитель ОКР</w:t>
            </w:r>
          </w:p>
        </w:tc>
        <w:tc>
          <w:tcPr>
            <w:tcW w:w="2250" w:type="dxa"/>
          </w:tcPr>
          <w:p>
            <w:r>
              <w:t xml:space="preserve">[уточнить]</w:t>
            </w:r>
          </w:p>
        </w:tc>
        <w:tc>
          <w:tcPr>
            <w:tcW w:w="2250" w:type="dxa"/>
          </w:tcPr>
          <w:p>
            <w:r>
              <w:t xml:space="preserve">________________ / [уточнить] /</w:t>
            </w:r>
          </w:p>
        </w:tc>
        <w:tc>
          <w:tcPr>
            <w:tcW w:w="2250" w:type="dxa"/>
          </w:tcPr>
          <w:p>
            <w:r>
              <w:t xml:space="preserve">«___» ________ 20__ г.</w:t>
            </w:r>
          </w:p>
        </w:tc>
      </w:tr>
      <w:tr>
        <w:tc>
          <w:tcPr>
            <w:tcW w:w="2250" w:type="dxa"/>
          </w:tcPr>
          <w:p>
            <w:r>
              <w:t xml:space="preserve">Другие согласующие организации (при решении заказчика или головного исполнителя ОКР, согласованном с заказчиком)</w:t>
            </w:r>
          </w:p>
        </w:tc>
        <w:tc>
          <w:tcPr>
            <w:tcW w:w="2250" w:type="dxa"/>
          </w:tcPr>
          <w:p>
            <w:r>
              <w:t xml:space="preserve">[уточнить]</w:t>
            </w:r>
          </w:p>
        </w:tc>
        <w:tc>
          <w:tcPr>
            <w:tcW w:w="2250" w:type="dxa"/>
          </w:tcPr>
          <w:p>
            <w:r>
              <w:t xml:space="preserve">________________ / [уточнить] /</w:t>
            </w:r>
          </w:p>
        </w:tc>
        <w:tc>
          <w:tcPr>
            <w:tcW w:w="2250" w:type="dxa"/>
          </w:tcPr>
          <w:p>
            <w:r>
              <w:t xml:space="preserve">«___» ________ 20__ г.</w:t>
            </w:r>
          </w:p>
        </w:tc>
      </w:tr>
    </w:tbl>
    <w:sectPr>
      <w:pgSz w:w="11906" w:h="16838"/>
      <w:pgMar w:top="1134" w:right="850" w:bottom="1134" w:left="1134"/>
      <w:pgNumType w:fmt="decimal"/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rPr>
      <w:b/>
      <w:sz w:val="32"/>
    </w:rPr>
    <w:pPr>
      <w:jc w:val="center"/>
      <w:spacing w:before="280" w:after="180"/>
    </w:pPr>
  </w:style>
  <w:style w:type="paragraph" w:styleId="Heading2">
    <w:name w:val="heading 2"/>
    <w:basedOn w:val="Normal"/>
    <w:rPr>
      <w:b/>
      <w:sz w:val="28"/>
    </w:rPr>
    <w:pPr>
      <w:spacing w:before="200" w:after="100"/>
    </w:pPr>
  </w:style>
  <w:style w:type="paragraph" w:styleId="Heading3">
    <w:name w:val="heading 3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— Развитие-ТСА</dc:title>
  <dc:language>ru-RU</dc:language>
</cp:coreProperties>
</file>