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СОГЛАСОВАНО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t xml:space="preserve">Заказчик (НИО заказчика)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t xml:space="preserve">[уточнить]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t xml:space="preserve">__________  [уточнить]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t xml:space="preserve">«___» __________ 20__ г.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СОГЛАСОВАНО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t xml:space="preserve">Исполнитель составной части ОКР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t xml:space="preserve">ООО «тушканчик»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t xml:space="preserve">__________  [уточнить]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t xml:space="preserve">«___» __________ 20__ г.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УТВЕРЖДАЮ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t xml:space="preserve">Головной исполнитель ОКР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t xml:space="preserve">[уточнить]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t xml:space="preserve">__________  [уточнить]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t xml:space="preserve">«___» __________ 20__ г.</w:t>
            </w:r>
          </w:p>
        </w:tc>
      </w:tr>
    </w:tbl>
    <w:p>
      <w:pPr>
        <w:ind w:firstLine="0"/>
      </w:pPr>
      <w:r>
        <w:t xml:space="preserve"> </w:t>
      </w:r>
    </w:p>
    <w:p>
      <w:pPr>
        <w:ind w:firstLine="0"/>
      </w:pPr>
      <w:r>
        <w:t xml:space="preserve"> </w:t>
      </w:r>
    </w:p>
    <w:p>
      <w:pPr>
        <w:ind w:firstLine="0"/>
      </w:pPr>
      <w:r>
        <w:t xml:space="preserve"> </w:t>
      </w:r>
    </w:p>
    <w:p>
      <w:pPr>
        <w:jc w:val="center"/>
        <w:ind w:firstLine="0"/>
      </w:pPr>
      <w:r>
        <w:rPr>
          <w:b/>
        </w:rPr>
        <w:t xml:space="preserve">ТЕХНИЧЕСКОЕ ЗАДАНИЕ</w:t>
      </w:r>
    </w:p>
    <w:p>
      <w:pPr>
        <w:jc w:val="center"/>
        <w:ind w:firstLine="0"/>
      </w:pPr>
      <w:r>
        <w:rPr>
          <w:b/>
        </w:rPr>
        <w:t xml:space="preserve">НА СОСТАВНУЮ ЧАСТЬ ОПЫТНО-КОНСТРУКТОРСКОЙ РАБОТЫ</w:t>
      </w:r>
    </w:p>
    <w:p>
      <w:pPr>
        <w:ind w:firstLine="0"/>
      </w:pPr>
      <w:r>
        <w:t xml:space="preserve"> </w:t>
      </w:r>
    </w:p>
    <w:p>
      <w:pPr>
        <w:jc w:val="center"/>
        <w:ind w:firstLine="0"/>
      </w:pPr>
      <w:r>
        <w:t xml:space="preserve">Разработка сменной интерфейсной субплаты 8×E1 и функционального модуля E1 для универсального базового модуля AMC семейства ДММП</w:t>
      </w:r>
    </w:p>
    <w:p>
      <w:pPr>
        <w:jc w:val="center"/>
        <w:ind w:firstLine="0"/>
      </w:pPr>
      <w:r>
        <w:rPr>
          <w:b/>
        </w:rPr>
        <w:t xml:space="preserve">Шифр ОКР «Развитие-ТСА»</w:t>
      </w:r>
    </w:p>
    <w:p>
      <w:pPr>
        <w:jc w:val="center"/>
        <w:ind w:firstLine="0"/>
      </w:pPr>
      <w:r>
        <w:t xml:space="preserve">Обозначение составной части изделия: [уточнить]</w:t>
      </w:r>
    </w:p>
    <w:p>
      <w:pPr>
        <w:jc w:val="center"/>
        <w:ind w:firstLine="0"/>
      </w:pPr>
      <w:r>
        <w:t xml:space="preserve">Регистрационный номер: [уточнить]</w:t>
      </w:r>
    </w:p>
    <w:p>
      <w:pPr>
        <w:ind w:firstLine="0"/>
      </w:pPr>
      <w:r>
        <w:t xml:space="preserve"> </w:t>
      </w:r>
    </w:p>
    <w:p>
      <w:pPr>
        <w:ind w:firstLine="0"/>
      </w:pPr>
      <w:r>
        <w:t xml:space="preserve"> </w:t>
      </w:r>
    </w:p>
    <w:p>
      <w:pPr>
        <w:ind w:firstLine="0"/>
      </w:pPr>
      <w:r>
        <w:t xml:space="preserve"> </w:t>
      </w:r>
    </w:p>
    <w:p>
      <w:pPr>
        <w:jc w:val="right"/>
        <w:ind w:firstLine="0"/>
      </w:pPr>
      <w:r>
        <w:t xml:space="preserve">Действует с дополнением: —</w:t>
      </w:r>
    </w:p>
    <w:p>
      <w:r>
        <w:br w:type="page"/>
      </w:r>
    </w:p>
    <w:p>
      <w:pPr>
        <w:pStyle w:val="Heading1"/>
        <w:ind w:firstLine="0"/>
      </w:pPr>
      <w:r>
        <w:t xml:space="preserve">ЛИСТ СОГЛАСОВАНИЯ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rPr>
          <w:tblHeader/>
          <w:cantSplit/>
        </w:trPr>
        <w:tc>
          <w:tcPr>
            <w:shd w:fill="D9E2F3"/>
            <w:vAlign w:val="center"/>
          </w:tcPr>
          <w:p>
            <w:pPr>
              <w:jc w:val="center"/>
              <w:ind w:firstLine="0"/>
            </w:pPr>
            <w:r>
              <w:rPr>
                <w:b/>
                <w:sz w:val="16"/>
                <w:szCs w:val="16"/>
              </w:rPr>
              <w:t xml:space="preserve">Организация, роль</w:t>
            </w:r>
          </w:p>
        </w:tc>
        <w:tc>
          <w:tcPr>
            <w:shd w:fill="D9E2F3"/>
            <w:vAlign w:val="center"/>
          </w:tcPr>
          <w:p>
            <w:pPr>
              <w:jc w:val="center"/>
              <w:ind w:firstLine="0"/>
            </w:pPr>
            <w:r>
              <w:rPr>
                <w:b/>
                <w:sz w:val="16"/>
                <w:szCs w:val="16"/>
              </w:rPr>
              <w:t xml:space="preserve">Должность</w:t>
            </w:r>
          </w:p>
        </w:tc>
        <w:tc>
          <w:tcPr>
            <w:shd w:fill="D9E2F3"/>
            <w:vAlign w:val="center"/>
          </w:tcPr>
          <w:p>
            <w:pPr>
              <w:jc w:val="center"/>
              <w:ind w:firstLine="0"/>
            </w:pPr>
            <w:r>
              <w:rPr>
                <w:b/>
                <w:sz w:val="16"/>
                <w:szCs w:val="16"/>
              </w:rPr>
              <w:t xml:space="preserve">Подпись</w:t>
            </w:r>
          </w:p>
        </w:tc>
        <w:tc>
          <w:tcPr>
            <w:shd w:fill="D9E2F3"/>
            <w:vAlign w:val="center"/>
          </w:tcPr>
          <w:p>
            <w:pPr>
              <w:jc w:val="center"/>
              <w:ind w:firstLine="0"/>
            </w:pPr>
            <w:r>
              <w:rPr>
                <w:b/>
                <w:sz w:val="16"/>
                <w:szCs w:val="16"/>
              </w:rPr>
              <w:t xml:space="preserve">Инициалы, фамилия</w:t>
            </w:r>
          </w:p>
        </w:tc>
        <w:tc>
          <w:tcPr>
            <w:shd w:fill="D9E2F3"/>
            <w:vAlign w:val="center"/>
          </w:tcPr>
          <w:p>
            <w:pPr>
              <w:jc w:val="center"/>
              <w:ind w:firstLine="0"/>
            </w:pPr>
            <w:r>
              <w:rPr>
                <w:b/>
                <w:sz w:val="16"/>
                <w:szCs w:val="16"/>
              </w:rPr>
              <w:t xml:space="preserve">Дата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Заказчик (НИО заказчика)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[уточнить]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__________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[уточнить]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[уточнить]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Головной исполнитель ОКР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[уточнить]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__________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[уточнить]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[уточнить]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Исполнитель составной части ОКР — ООО «тушканчик»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[уточнить]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__________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[уточнить]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[уточнить]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Другие согласующие организации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[уточнить]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__________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[уточнить]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[уточнить]</w:t>
            </w:r>
          </w:p>
        </w:tc>
      </w:tr>
    </w:tbl>
    <w:p>
      <w:r>
        <w:br w:type="page"/>
      </w:r>
    </w:p>
    <w:p>
      <w:pPr>
        <w:pStyle w:val="Heading1"/>
        <w:ind w:firstLine="0"/>
      </w:pPr>
      <w:r>
        <w:t xml:space="preserve">ПЕРЕЧЕНЬ ОБОЗНАЧЕНИЙ И СОКРАЩЕНИЙ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rPr>
          <w:tblHeader/>
          <w:cantSplit/>
        </w:trPr>
        <w:tc>
          <w:tcPr>
            <w:shd w:fill="D9E2F3"/>
            <w:vAlign w:val="center"/>
          </w:tcPr>
          <w:p>
            <w:pPr>
              <w:jc w:val="center"/>
              <w:ind w:firstLine="0"/>
            </w:pPr>
            <w:r>
              <w:rPr>
                <w:b/>
                <w:sz w:val="16"/>
                <w:szCs w:val="16"/>
              </w:rPr>
              <w:t xml:space="preserve">Обозначение / сокращение</w:t>
            </w:r>
          </w:p>
        </w:tc>
        <w:tc>
          <w:tcPr>
            <w:shd w:fill="D9E2F3"/>
            <w:vAlign w:val="center"/>
          </w:tcPr>
          <w:p>
            <w:pPr>
              <w:jc w:val="center"/>
              <w:ind w:firstLine="0"/>
            </w:pPr>
            <w:r>
              <w:rPr>
                <w:b/>
                <w:sz w:val="16"/>
                <w:szCs w:val="16"/>
              </w:rPr>
              <w:t xml:space="preserve">Значение в настоящем ТЗ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10GbE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интерфейс Ethernet, обозначенный в исходных данных как Fabric 10GbE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ACR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источник тактирования от пакетной сети; официальное раскрытие сокращения в исходных данных отсутствует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AIS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аварийный сигнал «все единицы»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AMC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модуль форм-фактора AMC.0; официальное раскрытие сокращения в исходных данных отсутствует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AMI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кодирование линии E1; официальное раскрытие сокращения в исходных данных отсутствует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АСУ ТП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автоматизированная система управления технологическими процессами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B2B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межплатный интерфейс между субплатой и базовой платой; официальное раскрытие сокращения в исходных данных отсутствует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BER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показатель, используемый при тестах с PRBS; официальное раскрытие сокращения в исходных данных отсутствует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Board ID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идентификатор субплаты, по которому базовая плата автоматически выбирает bitstream E1 из Flash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CAS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режим сигнализации TS16; официальное раскрытие сокращения в исходных данных отсутствует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CCS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режим сигнализации; официальное раскрытие сокращения в исходных данных отсутствует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CESoPSN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профиль Б пакетной передачи N×64 кбит/с по RFC 5086; официальное раскрытие сокращения в исходных данных отсутствует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CRC-4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режим контроля CRC-4 в кадре G.704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E1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цифровая линия 2048 кбит/с (2,048 Мбит/с)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EEPROM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память Board ID; официальное раскрытие сокращения в исходных данных отсутствует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ES, SES, UAS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показатели статистики G.826; официальные раскрытия сокращений в исходных данных отсутствуют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ESD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электростатическое воздействие/защита; официальное раскрытие сокращения в исходных данных отсутствует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HDB3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кодирование линии E1; официальное раскрытие сокращения в исходных данных отсутствует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LIU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восьмиканальный узел интерфейса линий E1; официальное раскрытие сокращения в исходных данных отсутствует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LOF, LOS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контролируемые аварийные состояния E1; официальные раскрытия сокращений в исходных данных отсутствуют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MIB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средство программного обеспечения РМО/SNMP; официальное раскрытие сокращения в исходных данных отсутствует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MMC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функция базовой платы, предоставляемая через B2B; официальное раскрытие сокращения в исходных данных отсутствует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MTBF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показатель надежности со значением не менее 15 000 ч; официальное раскрытие сокращения в исходных данных отсутствует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ОКР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опытно-конструкторская работа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ПДВ (PDV)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сетевой джиттер, компенсируемый джиттер-буфером; официальное раскрытие PDV в исходных данных отсутствует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ПЛИС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программируемая логическая интегральная схема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ПМИ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программа и методика испытаний; требования к отдельному разделу или документу ПМИ исходными данными не заданы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PRBS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тестовые последовательности 2^15−1 и 2^23−1; официальное раскрытие сокращения в исходных данных отсутствует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RAI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контролируемое аварийное состояние E1; официальное раскрытие сокращения в исходных данных отсутствует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РКД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рабочая конструкторская документация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РМО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средство удаленного мониторинга и управления на C++/Qt; официальное раскрытие сокращения в исходных данных отсутствует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SAToP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профиль А передачи полного неструктурированного потока по RFC 4553; официальное раскрытие сокращения в исходных данных отсутствует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SDH, PDH, TDM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области применения и вид передаваемого трафика; официальные раскрытия сокращений в исходных данных отсутствуют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SNMP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протокол взаимодействия РМО с MIB; официальное раскрытие сокращения в исходных данных отсутствует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TCLK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системный источник тактирования передатчика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TS1–TS31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канальные интервалы 1–31 потока E1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ТЗ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техническое задание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СЧ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составная часть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ЭКБ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электронная компонентная база</w:t>
            </w:r>
          </w:p>
        </w:tc>
      </w:tr>
    </w:tbl>
    <w:p>
      <w:pPr>
        <w:pStyle w:val="Req"/>
        <w:ind w:firstLine="0"/>
      </w:pPr>
      <w:r>
        <w:t xml:space="preserve">Примечание — Там, где источник не содержит официального раскрытия сокращения, приведено только подтвержденное функциональное значение; официальное раскрытие подлежит уточнению до утверждения ТЗ.</w:t>
      </w:r>
    </w:p>
    <w:p>
      <w:r>
        <w:br w:type="page"/>
      </w:r>
    </w:p>
    <w:p>
      <w:pPr>
        <w:pStyle w:val="Heading1"/>
        <w:ind w:firstLine="0"/>
      </w:pPr>
      <w:r>
        <w:t xml:space="preserve">ПЕРЕЧЕНЬ ПРИМЕНИМЫХ НОРМАТИВНЫХ И СПРАВОЧНЫХ ДОКУМЕНТОВ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rPr>
          <w:tblHeader/>
          <w:cantSplit/>
        </w:trPr>
        <w:tc>
          <w:tcPr>
            <w:shd w:fill="D9E2F3"/>
            <w:vAlign w:val="center"/>
          </w:tcPr>
          <w:p>
            <w:pPr>
              <w:jc w:val="center"/>
              <w:ind w:firstLine="0"/>
            </w:pPr>
            <w:r>
              <w:rPr>
                <w:b/>
                <w:sz w:val="16"/>
                <w:szCs w:val="16"/>
              </w:rPr>
              <w:t xml:space="preserve">№</w:t>
            </w:r>
          </w:p>
        </w:tc>
        <w:tc>
          <w:tcPr>
            <w:shd w:fill="D9E2F3"/>
            <w:vAlign w:val="center"/>
          </w:tcPr>
          <w:p>
            <w:pPr>
              <w:jc w:val="center"/>
              <w:ind w:firstLine="0"/>
            </w:pPr>
            <w:r>
              <w:rPr>
                <w:b/>
                <w:sz w:val="16"/>
                <w:szCs w:val="16"/>
              </w:rPr>
              <w:t xml:space="preserve">Обозначение документа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ITU-T G.703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ITU-T G.704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ITU-T G.823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ITU-T G.826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RFC 4553 (SAToP)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RFC 5086 (CESoPSN)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PICMG AMC.0 R2.0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ГОСТ РВ 20.39.304-98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ГОСТ В 25803-91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ГОСТ 2.114-2016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11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ГОСТ РВ 15.201-2003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12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ГОСТ 15150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13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ГОСТ 15.016-2016 «Система разработки и постановки продукции на производство. Техническое задание. Требования к содержанию и оформлению»</w:t>
            </w:r>
          </w:p>
        </w:tc>
      </w:tr>
    </w:tbl>
    <w:p>
      <w:pPr>
        <w:pStyle w:val="Req"/>
        <w:ind w:firstLine="0"/>
      </w:pPr>
      <w:r>
        <w:t xml:space="preserve">Примечание — Наименования документов, кроме полного наименования ГОСТ 15.016-2016, в исходных данных не приведены; они сохранены по обозначениям без неподтвержденного дополнения названий.</w:t>
      </w:r>
    </w:p>
    <w:p>
      <w:r>
        <w:br w:type="page"/>
      </w:r>
    </w:p>
    <w:p>
      <w:pPr>
        <w:pStyle w:val="Heading1"/>
        <w:ind w:firstLine="0"/>
      </w:pPr>
      <w:r>
        <w:t xml:space="preserve">1 Наименование, шифр, основание, исполнители и сроки ОКР</w:t>
      </w:r>
    </w:p>
    <w:p>
      <w:pPr>
        <w:pStyle w:val="Req"/>
        <w:ind w:firstLine="0"/>
      </w:pPr>
      <w:r>
        <w:rPr>
          <w:b/>
        </w:rPr>
        <w:t xml:space="preserve">1.1 </w:t>
      </w:r>
      <w:r>
        <w:t xml:space="preserve">Наименование составной части ОКР: разработка сменной интерфейсной субплаты 8×E1 и функционального модуля E1 для универсального базового модуля AMC семейства ДММП.</w:t>
      </w:r>
    </w:p>
    <w:p>
      <w:pPr>
        <w:pStyle w:val="Req"/>
        <w:ind w:firstLine="0"/>
      </w:pPr>
      <w:r>
        <w:rPr>
          <w:b/>
        </w:rPr>
        <w:t xml:space="preserve">1.2 </w:t>
      </w:r>
      <w:r>
        <w:t xml:space="preserve">Шифр ОКР — «Развитие-ТСА».</w:t>
      </w:r>
    </w:p>
    <w:p>
      <w:pPr>
        <w:pStyle w:val="Req"/>
        <w:ind w:firstLine="0"/>
      </w:pPr>
      <w:r>
        <w:rPr>
          <w:b/>
        </w:rPr>
        <w:t xml:space="preserve">1.3 </w:t>
      </w:r>
      <w:r>
        <w:t xml:space="preserve">Основание для выполнения работы — приказ об открытии инициативной ОКР № [уточнить] от [уточнить].</w:t>
      </w:r>
    </w:p>
    <w:p>
      <w:pPr>
        <w:pStyle w:val="Req"/>
        <w:ind w:firstLine="0"/>
      </w:pPr>
      <w:r>
        <w:rPr>
          <w:b/>
        </w:rPr>
        <w:t xml:space="preserve">1.4 </w:t>
      </w:r>
      <w:r>
        <w:t xml:space="preserve">Исполнитель составной части ОКР — ООО «тушканчик» (условное наименование из исходных данных). Головной исполнитель ОКР и заказчик (НИО заказчика) — [уточнить].</w:t>
      </w:r>
    </w:p>
    <w:p>
      <w:pPr>
        <w:pStyle w:val="Req"/>
        <w:ind w:firstLine="0"/>
      </w:pPr>
      <w:r>
        <w:rPr>
          <w:b/>
        </w:rPr>
        <w:t xml:space="preserve">1.5 </w:t>
      </w:r>
      <w:r>
        <w:t xml:space="preserve">Сроки выполнения составной части ОКР должны быть связаны с утвержденным планом-графиком разработки РКД и программной документации, изготовления образцов и проведения испытаний. Календарные даты и обозначение утвержденного плана-графика — [уточнить].</w:t>
      </w:r>
    </w:p>
    <w:p>
      <w:pPr>
        <w:pStyle w:val="Heading1"/>
        <w:ind w:firstLine="0"/>
      </w:pPr>
      <w:r>
        <w:t xml:space="preserve">2 Цель выполнения, наименование, назначение и область применения изделия</w:t>
      </w:r>
    </w:p>
    <w:p>
      <w:pPr>
        <w:pStyle w:val="Req"/>
        <w:ind w:firstLine="0"/>
      </w:pPr>
      <w:r>
        <w:rPr>
          <w:b/>
        </w:rPr>
        <w:t xml:space="preserve">2.1 </w:t>
      </w:r>
      <w:r>
        <w:t xml:space="preserve">Цель работы — создать сменную интерфейсную субплату 8×E1 и функциональный модуль E1 для универсального базового модуля AMC семейства ДММП, обеспечивающие подключение восьми независимых линий E1 к платформе ДММП, передачу TDM через Ethernet, компенсацию сетевого джиттера и восстановление частоты.</w:t>
      </w:r>
    </w:p>
    <w:p>
      <w:pPr>
        <w:pStyle w:val="Req"/>
        <w:ind w:firstLine="0"/>
      </w:pPr>
      <w:r>
        <w:rPr>
          <w:b/>
        </w:rPr>
        <w:t xml:space="preserve">2.2 </w:t>
      </w:r>
      <w:r>
        <w:t xml:space="preserve">Изделие предназначено для применения в системах TDM/SDH/PDH, телефонных станциях, системах диспетчеризации и АСУ ТП энергетических и промышленных предприятий.</w:t>
      </w:r>
    </w:p>
    <w:p>
      <w:pPr>
        <w:pStyle w:val="Req"/>
        <w:ind w:firstLine="0"/>
      </w:pPr>
      <w:r>
        <w:rPr>
          <w:b/>
        </w:rPr>
        <w:t xml:space="preserve">2.3 </w:t>
      </w:r>
      <w:r>
        <w:t xml:space="preserve">Аппаратная часть изделия должна включать сменную интерфейсную субплату, линейные интерфейсы E1, средства защиты, импульсные трансформаторы, восьмиканальный LIU, EEPROM Board ID и средства индикации портов.</w:t>
      </w:r>
    </w:p>
    <w:p>
      <w:pPr>
        <w:pStyle w:val="Req"/>
        <w:ind w:firstLine="0"/>
      </w:pPr>
      <w:r>
        <w:rPr>
          <w:b/>
        </w:rPr>
        <w:t xml:space="preserve">2.4 </w:t>
      </w:r>
      <w:r>
        <w:t xml:space="preserve">Логическая часть изделия должна представлять собой функциональный модуль ПЛИС базовой платы и автоматически активироваться по Board ID субплаты.</w:t>
      </w:r>
    </w:p>
    <w:p>
      <w:pPr>
        <w:pStyle w:val="Req"/>
        <w:ind w:firstLine="0"/>
      </w:pPr>
      <w:r>
        <w:rPr>
          <w:b/>
        </w:rPr>
        <w:t xml:space="preserve">2.5 </w:t>
      </w:r>
      <w:r>
        <w:t xml:space="preserve">AMC с установленной субплатой должен устанавливаться на Carrier платформы ДММП.</w:t>
      </w:r>
    </w:p>
    <w:p>
      <w:pPr>
        <w:pStyle w:val="Heading1"/>
        <w:ind w:firstLine="0"/>
      </w:pPr>
      <w:r>
        <w:t xml:space="preserve">3 Технические требования к изделию</w:t>
      </w:r>
    </w:p>
    <w:p>
      <w:pPr>
        <w:pStyle w:val="Heading2"/>
        <w:ind w:firstLine="0"/>
      </w:pPr>
      <w:r>
        <w:t xml:space="preserve">3.1 Архитектура и линии E1</w:t>
      </w:r>
    </w:p>
    <w:p>
      <w:pPr>
        <w:pStyle w:val="Req"/>
        <w:ind w:firstLine="0"/>
      </w:pPr>
      <w:r>
        <w:rPr>
          <w:b/>
        </w:rPr>
        <w:t xml:space="preserve">ТР-3.1.1 </w:t>
      </w:r>
      <w:r>
        <w:t xml:space="preserve">Субплата должна иметь восемь экранированных разъемов RJ-48C (8P8C), средства защиты, импульсные трансформаторы, восьмиканальный LIU, EEPROM Board ID и индикацию портов.</w:t>
      </w:r>
    </w:p>
    <w:p>
      <w:pPr>
        <w:pStyle w:val="Req"/>
        <w:ind w:firstLine="0"/>
      </w:pPr>
      <w:r>
        <w:rPr>
          <w:b/>
        </w:rPr>
        <w:t xml:space="preserve">ТР-3.1.2 </w:t>
      </w:r>
      <w:r>
        <w:t xml:space="preserve">Числовое значение Board ID — [уточнить: значение необходимо для программирования EEPROM и проверки автоматического выбора bitstream E1].</w:t>
      </w:r>
    </w:p>
    <w:p>
      <w:pPr>
        <w:pStyle w:val="Req"/>
        <w:ind w:firstLine="0"/>
      </w:pPr>
      <w:r>
        <w:rPr>
          <w:b/>
        </w:rPr>
        <w:t xml:space="preserve">ТР-3.1.3 </w:t>
      </w:r>
      <w:r>
        <w:t xml:space="preserve">Через B2B базовая плата должна предоставлять субплате напряжения +12 В и +3,3 В, функции MMC и тактирование, а также выбирать bitstream E1 из Flash по Board ID.</w:t>
      </w:r>
    </w:p>
    <w:p>
      <w:pPr>
        <w:pStyle w:val="Req"/>
        <w:ind w:firstLine="0"/>
      </w:pPr>
      <w:r>
        <w:rPr>
          <w:b/>
        </w:rPr>
        <w:t xml:space="preserve">ТР-3.1.4 </w:t>
      </w:r>
      <w:r>
        <w:t xml:space="preserve">Каждый из восьми портов должен обеспечивать симметричный двухпарный интерфейс 120 Ом со скоростью 2048 кбит/с (2,048 Мбит/с) ±50 ppm, линейное кодирование HDB3 или AMI и соответствие маски импульса ITU-T G.703.</w:t>
      </w:r>
    </w:p>
    <w:p>
      <w:pPr>
        <w:pStyle w:val="Req"/>
        <w:ind w:firstLine="0"/>
      </w:pPr>
      <w:r>
        <w:rPr>
          <w:b/>
        </w:rPr>
        <w:t xml:space="preserve">ТР-3.1.5 </w:t>
      </w:r>
      <w:r>
        <w:t xml:space="preserve">Трансформаторная изоляция каждого порта должна выдерживать не менее 1500 В RMS при частоте 50 Гц в течение 1 мин.</w:t>
      </w:r>
    </w:p>
    <w:p>
      <w:pPr>
        <w:pStyle w:val="Req"/>
        <w:ind w:firstLine="0"/>
      </w:pPr>
      <w:r>
        <w:rPr>
          <w:b/>
        </w:rPr>
        <w:t xml:space="preserve">ТР-3.1.6 </w:t>
      </w:r>
      <w:r>
        <w:t xml:space="preserve">Каждый порт должен иметь супрессорную защиту от перенапряжений и ESD.</w:t>
      </w:r>
    </w:p>
    <w:p>
      <w:pPr>
        <w:pStyle w:val="Req"/>
        <w:ind w:firstLine="0"/>
      </w:pPr>
      <w:r>
        <w:rPr>
          <w:b/>
        </w:rPr>
        <w:t xml:space="preserve">ТР-3.1.7 </w:t>
      </w:r>
      <w:r>
        <w:t xml:space="preserve">Короткое замыкание, обрыв или перепутывание пар одного порта не должны влиять на работу остальных портов и модуля.</w:t>
      </w:r>
    </w:p>
    <w:p>
      <w:pPr>
        <w:pStyle w:val="Heading3"/>
        <w:ind w:firstLine="0"/>
      </w:pPr>
      <w:r>
        <w:t xml:space="preserve">3.1.1 Проверка требований 3.1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rPr>
          <w:tblHeader/>
          <w:cantSplit/>
        </w:trPr>
        <w:tc>
          <w:tcPr>
            <w:shd w:fill="D9E2F3"/>
            <w:vAlign w:val="center"/>
          </w:tcPr>
          <w:p>
            <w:pPr>
              <w:jc w:val="center"/>
              <w:ind w:firstLine="0"/>
            </w:pPr>
            <w:r>
              <w:rPr>
                <w:b/>
                <w:sz w:val="16"/>
                <w:szCs w:val="16"/>
              </w:rPr>
              <w:t xml:space="preserve">Требования</w:t>
            </w:r>
          </w:p>
        </w:tc>
        <w:tc>
          <w:tcPr>
            <w:shd w:fill="D9E2F3"/>
            <w:vAlign w:val="center"/>
          </w:tcPr>
          <w:p>
            <w:pPr>
              <w:jc w:val="center"/>
              <w:ind w:firstLine="0"/>
            </w:pPr>
            <w:r>
              <w:rPr>
                <w:b/>
                <w:sz w:val="16"/>
                <w:szCs w:val="16"/>
              </w:rPr>
              <w:t xml:space="preserve">Метод и условия</w:t>
            </w:r>
          </w:p>
        </w:tc>
        <w:tc>
          <w:tcPr>
            <w:shd w:fill="D9E2F3"/>
            <w:vAlign w:val="center"/>
          </w:tcPr>
          <w:p>
            <w:pPr>
              <w:jc w:val="center"/>
              <w:ind w:firstLine="0"/>
            </w:pPr>
            <w:r>
              <w:rPr>
                <w:b/>
                <w:sz w:val="16"/>
                <w:szCs w:val="16"/>
              </w:rPr>
              <w:t xml:space="preserve">Критерий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ТР-3.1.1–ТР-3.1.3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Осмотр и функциональная проверка восьми портов, состава субплаты, B2B и реакции на установленный Board ID.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Наличие заданных элементов; базовая плата предоставляет +12 В/+3,3 В, MMC и тактирование; bitstream E1 выбирается по Board ID. Проверка выбора заблокирована до задания числового Board ID.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ТР-3.1.4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Измерение на каждом порту направления приема/передачи для HDB3 и AMI.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120 Ом; 2048 кбит/с (2,048 Мбит/с) ±50 ppm; маска импульса соответствует G.703.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ТР-3.1.5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Испытание изоляции каждого порта.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Не менее 1500 В RMS, 50 Гц, 1 мин.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ТР-3.1.6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Осмотр и испытание защиты.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Наличие и работоспособность супрессорной защиты от перенапряжений и ESD; конкретные уровни воздействий источником не заданы.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ТР-3.1.7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Поочередно создать КЗ, обрыв и перепутывание пар на одном порту при контроле остальных портов и модуля.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Каждое воздействие на выбранном порту не влияет на остальные порты и модуль; длительность и точка приложения воздействий источником не заданы.</w:t>
            </w:r>
          </w:p>
        </w:tc>
      </w:tr>
    </w:tbl>
    <w:p>
      <w:pPr>
        <w:pStyle w:val="Heading2"/>
        <w:ind w:firstLine="0"/>
      </w:pPr>
      <w:r>
        <w:t xml:space="preserve">3.2 Обработка, тактирование и аварии</w:t>
      </w:r>
    </w:p>
    <w:p>
      <w:pPr>
        <w:pStyle w:val="Req"/>
        <w:ind w:firstLine="0"/>
      </w:pPr>
      <w:r>
        <w:rPr>
          <w:b/>
        </w:rPr>
        <w:t xml:space="preserve">ТР-3.2.1 </w:t>
      </w:r>
      <w:r>
        <w:t xml:space="preserve">Независимо для каждого порта должен поддерживаться профиль А SAToP по RFC 4553: передача полного неструктурированного потока с настраиваемой полезной нагрузкой и минимальной аппаратной задержкой.</w:t>
      </w:r>
    </w:p>
    <w:p>
      <w:pPr>
        <w:pStyle w:val="Req"/>
        <w:ind w:firstLine="0"/>
      </w:pPr>
      <w:r>
        <w:rPr>
          <w:b/>
        </w:rPr>
        <w:t xml:space="preserve">ТР-3.2.2 </w:t>
      </w:r>
      <w:r>
        <w:t xml:space="preserve">Независимо для каждого порта должен поддерживаться профиль Б CESoPSN по RFC 5086: N×64 кбит/с, TS1–TS31, G.704, CRC-4, CAS (TS16) и CCS.</w:t>
      </w:r>
    </w:p>
    <w:p>
      <w:pPr>
        <w:pStyle w:val="Req"/>
        <w:ind w:firstLine="0"/>
      </w:pPr>
      <w:r>
        <w:rPr>
          <w:b/>
        </w:rPr>
        <w:t xml:space="preserve">ТР-3.2.3 </w:t>
      </w:r>
      <w:r>
        <w:t xml:space="preserve">Передача по Fabric 10GbE должна выполняться с Strict Priority QoS, без потерь и с минимальной задержкой коммутации.</w:t>
      </w:r>
    </w:p>
    <w:p>
      <w:pPr>
        <w:pStyle w:val="Req"/>
        <w:ind w:firstLine="0"/>
      </w:pPr>
      <w:r>
        <w:rPr>
          <w:b/>
        </w:rPr>
        <w:t xml:space="preserve">ТР-3.2.4 </w:t>
      </w:r>
      <w:r>
        <w:t xml:space="preserve">Джиттер-буфер каждого канала должен настраиваться в пределах от 1 до 64 мс и компенсировать PDV.</w:t>
      </w:r>
    </w:p>
    <w:p>
      <w:pPr>
        <w:pStyle w:val="Req"/>
        <w:ind w:firstLine="0"/>
      </w:pPr>
      <w:r>
        <w:rPr>
          <w:b/>
        </w:rPr>
        <w:t xml:space="preserve">ТР-3.2.5 </w:t>
      </w:r>
      <w:r>
        <w:t xml:space="preserve">При потере пакетов или аварии сети каждый затронутый канал должен выдавать в линию E1 AIS («все единицы»), сохраняя тактирование.</w:t>
      </w:r>
    </w:p>
    <w:p>
      <w:pPr>
        <w:pStyle w:val="Req"/>
        <w:ind w:firstLine="0"/>
      </w:pPr>
      <w:r>
        <w:rPr>
          <w:b/>
        </w:rPr>
        <w:t xml:space="preserve">ТР-3.2.6 </w:t>
      </w:r>
      <w:r>
        <w:t xml:space="preserve">Для передатчика должны поддерживаться режимы тактирования: системный TCLK; ACR от пакетной сети; Free-run/Holdover; Loop timing.</w:t>
      </w:r>
    </w:p>
    <w:p>
      <w:pPr>
        <w:pStyle w:val="Req"/>
        <w:ind w:firstLine="0"/>
      </w:pPr>
      <w:r>
        <w:rPr>
          <w:b/>
        </w:rPr>
        <w:t xml:space="preserve">ТР-3.2.7 </w:t>
      </w:r>
      <w:r>
        <w:t xml:space="preserve">Восстановленный сигнал 2,048 МГц любого выбранного входного порта должен передаваться через B2B как кандидат синхронизации шасси.</w:t>
      </w:r>
    </w:p>
    <w:p>
      <w:pPr>
        <w:pStyle w:val="Req"/>
        <w:ind w:firstLine="0"/>
      </w:pPr>
      <w:r>
        <w:rPr>
          <w:b/>
        </w:rPr>
        <w:t xml:space="preserve">ТР-3.2.8 </w:t>
      </w:r>
      <w:r>
        <w:t xml:space="preserve">Характеристики джиттера и вандера должны соответствовать ITU-T G.823.</w:t>
      </w:r>
    </w:p>
    <w:p>
      <w:pPr>
        <w:pStyle w:val="Req"/>
        <w:ind w:firstLine="0"/>
      </w:pPr>
      <w:r>
        <w:rPr>
          <w:b/>
        </w:rPr>
        <w:t xml:space="preserve">ТР-3.2.9 </w:t>
      </w:r>
      <w:r>
        <w:t xml:space="preserve">Изделие должно непрерывно и независимо по портам контролировать LOS; LOF в кадровом режиме; AIS; RAI; CRC-4; нарушения HDB3; Frame slips.</w:t>
      </w:r>
    </w:p>
    <w:p>
      <w:pPr>
        <w:pStyle w:val="Req"/>
        <w:ind w:firstLine="0"/>
      </w:pPr>
      <w:r>
        <w:rPr>
          <w:b/>
        </w:rPr>
        <w:t xml:space="preserve">ТР-3.2.10 </w:t>
      </w:r>
      <w:r>
        <w:t xml:space="preserve">Изделие должно вести по каждому порту статистику G.826: ES, SES и UAS.</w:t>
      </w:r>
    </w:p>
    <w:p>
      <w:pPr>
        <w:pStyle w:val="Req"/>
        <w:ind w:firstLine="0"/>
      </w:pPr>
      <w:r>
        <w:rPr>
          <w:b/>
        </w:rPr>
        <w:t xml:space="preserve">ТР-3.2.11 </w:t>
      </w:r>
      <w:r>
        <w:t xml:space="preserve">Для каждого порта должны поддерживаться Local Line Loopback, Payload Loopback и Packet Loopback.</w:t>
      </w:r>
    </w:p>
    <w:p>
      <w:pPr>
        <w:pStyle w:val="Req"/>
        <w:ind w:firstLine="0"/>
      </w:pPr>
      <w:r>
        <w:rPr>
          <w:b/>
        </w:rPr>
        <w:t xml:space="preserve">ТР-3.2.12 </w:t>
      </w:r>
      <w:r>
        <w:t xml:space="preserve">Для каждого порта должны быть встроены генератор и анализатор PRBS 2^15−1 и 2^23−1 для BER-тестов.</w:t>
      </w:r>
    </w:p>
    <w:p>
      <w:pPr>
        <w:pStyle w:val="Heading3"/>
        <w:ind w:firstLine="0"/>
      </w:pPr>
      <w:r>
        <w:t xml:space="preserve">3.2.1 Проверка требований 3.2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rPr>
          <w:tblHeader/>
          <w:cantSplit/>
        </w:trPr>
        <w:tc>
          <w:tcPr>
            <w:shd w:fill="D9E2F3"/>
            <w:vAlign w:val="center"/>
          </w:tcPr>
          <w:p>
            <w:pPr>
              <w:jc w:val="center"/>
              <w:ind w:firstLine="0"/>
            </w:pPr>
            <w:r>
              <w:rPr>
                <w:b/>
                <w:sz w:val="16"/>
                <w:szCs w:val="16"/>
              </w:rPr>
              <w:t xml:space="preserve">Требования</w:t>
            </w:r>
          </w:p>
        </w:tc>
        <w:tc>
          <w:tcPr>
            <w:shd w:fill="D9E2F3"/>
            <w:vAlign w:val="center"/>
          </w:tcPr>
          <w:p>
            <w:pPr>
              <w:jc w:val="center"/>
              <w:ind w:firstLine="0"/>
            </w:pPr>
            <w:r>
              <w:rPr>
                <w:b/>
                <w:sz w:val="16"/>
                <w:szCs w:val="16"/>
              </w:rPr>
              <w:t xml:space="preserve">Метод и условия</w:t>
            </w:r>
          </w:p>
        </w:tc>
        <w:tc>
          <w:tcPr>
            <w:shd w:fill="D9E2F3"/>
            <w:vAlign w:val="center"/>
          </w:tcPr>
          <w:p>
            <w:pPr>
              <w:jc w:val="center"/>
              <w:ind w:firstLine="0"/>
            </w:pPr>
            <w:r>
              <w:rPr>
                <w:b/>
                <w:sz w:val="16"/>
                <w:szCs w:val="16"/>
              </w:rPr>
              <w:t xml:space="preserve">Критерий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ТР-3.2.1, ТР-3.2.2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Функциональные испытания каждого порта в обоих профилях, включая перечисленные режимы кадрирования и сигнализации.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Каждый порт независимо передает полный неструктурированный поток SAToP; в CESoPSN поддерживает N×64 кбит/с, TS1–TS31, G.704, CRC-4, CAS (TS16) и CCS. Значения полезной нагрузки SAToP источником не заданы.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ТР-3.2.3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Передача трафика через Fabric 10GbE с проверкой приоритета, потерь и задержки.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Strict Priority QoS; потери отсутствуют. Количественный предел минимальной задержки источником не задан.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ТР-3.2.4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Установить граничные значения джиттер-буфера 1 и 64 мс и промежуточное значение; подать поток с PDV.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Настройка каждого канала действует во всем диапазоне от 1 до 64 мс; PDV компенсируется. Допустимый остаточный PDV источником не задан.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ТР-3.2.5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Имитировать потерю пакетов и аварию сети при контроле линейного выхода и частоты.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Для каждого события затронутый канал выдает AIS («все единицы») и сохраняет тактирование. Время реакции, удержания и восстановления после устранения события источником не заданы.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ТР-3.2.6–ТР-3.2.8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Поочередно включить каждый режим тактирования; выбрать каждый входной порт как источник; измерить выход B2B, джиттер и вандер.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Все четыре режима доступны; 2,048 МГц выбранного входного порта передается через B2B; джиттер и вандер соответствуют G.823. Переходы, приоритеты, времена захвата и восстановления источником не заданы.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ТР-3.2.9, ТР-3.2.10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Поочередно сформировать каждое контролируемое состояние/ошибку на каждом порту.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Непрерывно и раздельно регистрируются LOS, LOF в кадровом режиме, AIS, RAI, CRC-4, нарушения HDB3, Frame slips и статистика ES, SES, UAS по G.826. Условия очистки счетчиков источником не заданы.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ТР-3.2.11, ТР-3.2.12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Поочередно включить три петли и обе PRBS на каждом порту; выполнить BER-тест.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Каждая петля действует на выбранном порту; генератор и анализатор поддерживают PRBS 2^15−1 и 2^23−1. Порог BER источником не задан.</w:t>
            </w:r>
          </w:p>
        </w:tc>
      </w:tr>
    </w:tbl>
    <w:p>
      <w:pPr>
        <w:pStyle w:val="Heading2"/>
        <w:ind w:firstLine="0"/>
      </w:pPr>
      <w:r>
        <w:t xml:space="preserve">3.3 Конструкция и эксплуатация</w:t>
      </w:r>
    </w:p>
    <w:p>
      <w:pPr>
        <w:pStyle w:val="Req"/>
        <w:ind w:firstLine="0"/>
      </w:pPr>
      <w:r>
        <w:rPr>
          <w:b/>
        </w:rPr>
        <w:t xml:space="preserve">ТР-3.3.1 </w:t>
      </w:r>
      <w:r>
        <w:t xml:space="preserve">Субплата должна крепиться к общему лонжерону-теплоотводу и лицевой панели; размещение разъемов должно сохранять доступ к защелкам, обзор светодиодов и вентиляцию.</w:t>
      </w:r>
    </w:p>
    <w:p>
      <w:pPr>
        <w:pStyle w:val="Req"/>
        <w:ind w:firstLine="0"/>
      </w:pPr>
      <w:r>
        <w:rPr>
          <w:b/>
        </w:rPr>
        <w:t xml:space="preserve">ТР-3.3.2 </w:t>
      </w:r>
      <w:r>
        <w:t xml:space="preserve">Потребляемая мощность при всех активных портах не должна превышать 12 Вт для субплаты и 35 Вт для сборки.</w:t>
      </w:r>
    </w:p>
    <w:p>
      <w:pPr>
        <w:pStyle w:val="Req"/>
        <w:ind w:firstLine="0"/>
      </w:pPr>
      <w:r>
        <w:rPr>
          <w:b/>
        </w:rPr>
        <w:t xml:space="preserve">ТР-3.3.3 </w:t>
      </w:r>
      <w:r>
        <w:t xml:space="preserve">Конструктивное исполнение сборки — Single Full-size AMC.0 с габаритами 73,5 × 180,6 × 28,95 мм.</w:t>
      </w:r>
    </w:p>
    <w:p>
      <w:pPr>
        <w:pStyle w:val="Req"/>
        <w:ind w:firstLine="0"/>
      </w:pPr>
      <w:r>
        <w:rPr>
          <w:b/>
        </w:rPr>
        <w:t xml:space="preserve">ТР-3.3.4 </w:t>
      </w:r>
      <w:r>
        <w:t xml:space="preserve">Межплатное крепление должно выполняться на 4–6 металлических стойках М2,5.</w:t>
      </w:r>
    </w:p>
    <w:p>
      <w:pPr>
        <w:pStyle w:val="Req"/>
        <w:ind w:firstLine="0"/>
      </w:pPr>
      <w:r>
        <w:rPr>
          <w:b/>
        </w:rPr>
        <w:t xml:space="preserve">ТР-3.3.5 </w:t>
      </w:r>
      <w:r>
        <w:t xml:space="preserve">Изделие должно соответствовать ГОСТ РВ 20.39.304-98 для групп 1.1, 1.3 и 1.4.1, исполнение «О».</w:t>
      </w:r>
    </w:p>
    <w:p>
      <w:pPr>
        <w:pStyle w:val="Req"/>
        <w:ind w:firstLine="0"/>
      </w:pPr>
      <w:r>
        <w:rPr>
          <w:b/>
        </w:rPr>
        <w:t xml:space="preserve">ТР-3.3.6 </w:t>
      </w:r>
      <w:r>
        <w:t xml:space="preserve">Рабочая температура изделия должна составлять от −10 до +50 °C; предельная температура — от −40 до +65 °C.</w:t>
      </w:r>
    </w:p>
    <w:p>
      <w:pPr>
        <w:pStyle w:val="Req"/>
        <w:ind w:firstLine="0"/>
      </w:pPr>
      <w:r>
        <w:rPr>
          <w:b/>
        </w:rPr>
        <w:t xml:space="preserve">ТР-3.3.7 </w:t>
      </w:r>
      <w:r>
        <w:t xml:space="preserve">Изделие должно выдерживать синусоидальную вибрацию 5g и удары 15g.</w:t>
      </w:r>
    </w:p>
    <w:p>
      <w:pPr>
        <w:pStyle w:val="Req"/>
        <w:ind w:firstLine="0"/>
      </w:pPr>
      <w:r>
        <w:rPr>
          <w:b/>
        </w:rPr>
        <w:t xml:space="preserve">ТР-3.3.8 </w:t>
      </w:r>
      <w:r>
        <w:t xml:space="preserve">Требования по радиопомехам — группа 1.1.1 ГОСТ В 25803-91.</w:t>
      </w:r>
    </w:p>
    <w:p>
      <w:pPr>
        <w:pStyle w:val="Req"/>
        <w:ind w:firstLine="0"/>
      </w:pPr>
      <w:r>
        <w:rPr>
          <w:b/>
        </w:rPr>
        <w:t xml:space="preserve">ТР-3.3.9 </w:t>
      </w:r>
      <w:r>
        <w:t xml:space="preserve">MTBF изделия должен быть не менее 15 000 ч.</w:t>
      </w:r>
    </w:p>
    <w:p>
      <w:pPr>
        <w:pStyle w:val="Req"/>
        <w:ind w:firstLine="0"/>
      </w:pPr>
      <w:r>
        <w:rPr>
          <w:b/>
        </w:rPr>
        <w:t xml:space="preserve">ТР-3.3.10 </w:t>
      </w:r>
      <w:r>
        <w:t xml:space="preserve">Назначенный срок службы изделия должен быть не менее 20 лет.</w:t>
      </w:r>
    </w:p>
    <w:p>
      <w:pPr>
        <w:pStyle w:val="Heading3"/>
        <w:ind w:firstLine="0"/>
      </w:pPr>
      <w:r>
        <w:t xml:space="preserve">3.3.1 Проверка требований 3.3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rPr>
          <w:tblHeader/>
          <w:cantSplit/>
        </w:trPr>
        <w:tc>
          <w:tcPr>
            <w:shd w:fill="D9E2F3"/>
            <w:vAlign w:val="center"/>
          </w:tcPr>
          <w:p>
            <w:pPr>
              <w:jc w:val="center"/>
              <w:ind w:firstLine="0"/>
            </w:pPr>
            <w:r>
              <w:rPr>
                <w:b/>
                <w:sz w:val="16"/>
                <w:szCs w:val="16"/>
              </w:rPr>
              <w:t xml:space="preserve">Требования</w:t>
            </w:r>
          </w:p>
        </w:tc>
        <w:tc>
          <w:tcPr>
            <w:shd w:fill="D9E2F3"/>
            <w:vAlign w:val="center"/>
          </w:tcPr>
          <w:p>
            <w:pPr>
              <w:jc w:val="center"/>
              <w:ind w:firstLine="0"/>
            </w:pPr>
            <w:r>
              <w:rPr>
                <w:b/>
                <w:sz w:val="16"/>
                <w:szCs w:val="16"/>
              </w:rPr>
              <w:t xml:space="preserve">Метод и условия</w:t>
            </w:r>
          </w:p>
        </w:tc>
        <w:tc>
          <w:tcPr>
            <w:shd w:fill="D9E2F3"/>
            <w:vAlign w:val="center"/>
          </w:tcPr>
          <w:p>
            <w:pPr>
              <w:jc w:val="center"/>
              <w:ind w:firstLine="0"/>
            </w:pPr>
            <w:r>
              <w:rPr>
                <w:b/>
                <w:sz w:val="16"/>
                <w:szCs w:val="16"/>
              </w:rPr>
              <w:t xml:space="preserve">Критерий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ТР-3.3.1, ТР-3.3.3, ТР-3.3.4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Осмотр и измерение конструкции в сборе.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Крепление к общему лонжерону-теплоотводу и панели; доступ к защелкам, обзор светодиодов и вентиляция; Single Full-size AMC.0; 73,5 × 180,6 × 28,95 мм; 4–6 металлических стоек М2,5.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ТР-3.3.2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Измерение мощности при всех активных портах.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Субплата ≤12 Вт; сборка ≤35 Вт. Погрешность измерения источником не задана.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ТР-3.3.5–ТР-3.3.8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Испытания по указанным стандартам, группам и климатическим/механическим значениям.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Соответствие ГОСТ РВ 20.39.304-98, группы 1.1, 1.3, 1.4.1, исполнение «О»; работоспособность при −10…+50 °C; стойкость при предельных −40…+65 °C, вибрации 5g и ударах 15g; радиопомехи по группе 1.1.1 ГОСТ В 25803-91. Конкретные методики и продолжительности источником не заданы.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ТР-3.3.9, ТР-3.3.10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Расчет/анализ надежности и подтверждающие испытания в доступном объеме.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MTBF ≥15 000 ч; назначенный срок службы ≥20 лет. Расчетная модель, доверительная вероятность и объем испытаний источником не заданы.</w:t>
            </w:r>
          </w:p>
        </w:tc>
      </w:tr>
    </w:tbl>
    <w:p>
      <w:pPr>
        <w:pStyle w:val="Heading1"/>
        <w:ind w:firstLine="0"/>
      </w:pPr>
      <w:r>
        <w:t xml:space="preserve">4 Технико-экономические требования</w:t>
      </w:r>
    </w:p>
    <w:p>
      <w:pPr>
        <w:pStyle w:val="Req"/>
        <w:ind w:firstLine="0"/>
      </w:pPr>
      <w:r>
        <w:rPr>
          <w:b/>
        </w:rPr>
        <w:t xml:space="preserve">4.1 </w:t>
      </w:r>
      <w:r>
        <w:t xml:space="preserve">Технико-экономические требования к изделию не предъявляются.</w:t>
      </w:r>
    </w:p>
    <w:p>
      <w:pPr>
        <w:pStyle w:val="Heading1"/>
        <w:ind w:firstLine="0"/>
      </w:pPr>
      <w:r>
        <w:t xml:space="preserve">5 Требования к видам обеспечения</w:t>
      </w:r>
    </w:p>
    <w:p>
      <w:pPr>
        <w:pStyle w:val="Heading2"/>
        <w:ind w:firstLine="0"/>
      </w:pPr>
      <w:r>
        <w:t xml:space="preserve">5.1 Требования к нормативно-техническому обеспечению</w:t>
      </w:r>
    </w:p>
    <w:p>
      <w:pPr>
        <w:pStyle w:val="Req"/>
        <w:ind w:firstLine="0"/>
      </w:pPr>
      <w:r>
        <w:rPr>
          <w:b/>
        </w:rPr>
        <w:t xml:space="preserve">ОБ-5.1.1 </w:t>
      </w:r>
      <w:r>
        <w:t xml:space="preserve">При разработке изделия должны применяться документы, приведенные в перечне применимых нормативных и справочных документов настоящего ТЗ, в части, относящейся к установленным требованиям.</w:t>
      </w:r>
    </w:p>
    <w:p>
      <w:pPr>
        <w:pStyle w:val="Heading2"/>
        <w:ind w:firstLine="0"/>
      </w:pPr>
      <w:r>
        <w:t xml:space="preserve">5.2 Требования к метрологическому обеспечению</w:t>
      </w:r>
    </w:p>
    <w:p>
      <w:pPr>
        <w:pStyle w:val="Req"/>
        <w:ind w:firstLine="0"/>
      </w:pPr>
      <w:r>
        <w:rPr>
          <w:b/>
        </w:rPr>
        <w:t xml:space="preserve">ОБ-5.2.1 </w:t>
      </w:r>
      <w:r>
        <w:t xml:space="preserve">Должны быть предусмотрены средства и методики измерения маски импульса E1, джиттера и вандера, BER и задержки пакетизации. Незаданные допуски не устанавливаются настоящим ТЗ.</w:t>
      </w:r>
    </w:p>
    <w:p>
      <w:pPr>
        <w:pStyle w:val="Req"/>
        <w:ind w:firstLine="0"/>
      </w:pPr>
      <w:r>
        <w:rPr>
          <w:b/>
        </w:rPr>
        <w:t xml:space="preserve">ОБ-5.2.2 </w:t>
      </w:r>
      <w:r>
        <w:t xml:space="preserve">Средства и методики должны обеспечивать проверку критериев, приведенных в подразделах 3.1.1–3.3.1. Погрешности измерений и конкретный состав средств измерений — [уточнить в методиках испытаний до проведения соответствующих проверок].</w:t>
      </w:r>
    </w:p>
    <w:p>
      <w:pPr>
        <w:pStyle w:val="Heading2"/>
        <w:ind w:firstLine="0"/>
      </w:pPr>
      <w:r>
        <w:t xml:space="preserve">5.3 Требования к диагностическому обеспечению</w:t>
      </w:r>
    </w:p>
    <w:p>
      <w:pPr>
        <w:pStyle w:val="Req"/>
        <w:ind w:firstLine="0"/>
      </w:pPr>
      <w:r>
        <w:rPr>
          <w:b/>
        </w:rPr>
        <w:t xml:space="preserve">ОБ-5.3.1 </w:t>
      </w:r>
      <w:r>
        <w:t xml:space="preserve">Диагностическое обеспечение должно регистрировать LOS, LOF, AIS и RAI, а также счетчики ошибок, формировать сообщения и отчеты для РМО.</w:t>
      </w:r>
    </w:p>
    <w:p>
      <w:pPr>
        <w:pStyle w:val="Req"/>
        <w:ind w:firstLine="0"/>
      </w:pPr>
      <w:r>
        <w:rPr>
          <w:b/>
        </w:rPr>
        <w:t xml:space="preserve">ОБ-5.3.2 </w:t>
      </w:r>
      <w:r>
        <w:t xml:space="preserve">Проверку диагностического обеспечения выполняют поочередным формированием каждого состояния и ошибки на каждом порту; результатом должны быть соответствующая регистрация, изменение счетчиков и формирование сообщения/отчета для РМО. Форматы сообщений и отчетов, условия очистки и сохранения данных источником не заданы.</w:t>
      </w:r>
    </w:p>
    <w:p>
      <w:pPr>
        <w:pStyle w:val="Heading2"/>
        <w:ind w:firstLine="0"/>
      </w:pPr>
      <w:r>
        <w:t xml:space="preserve">5.4 Требования к программному обеспечению</w:t>
      </w:r>
    </w:p>
    <w:p>
      <w:pPr>
        <w:pStyle w:val="Req"/>
        <w:ind w:firstLine="0"/>
      </w:pPr>
      <w:r>
        <w:rPr>
          <w:b/>
        </w:rPr>
        <w:t xml:space="preserve">ОБ-5.4.1 </w:t>
      </w:r>
      <w:r>
        <w:t xml:space="preserve">В состав программного обеспечения должны входить bitstream функционального модуля E1 для Flash базовой платы, драйверы Linux и MIB для РМО/SNMP.</w:t>
      </w:r>
    </w:p>
    <w:p>
      <w:pPr>
        <w:pStyle w:val="Req"/>
        <w:ind w:firstLine="0"/>
      </w:pPr>
      <w:r>
        <w:rPr>
          <w:b/>
        </w:rPr>
        <w:t xml:space="preserve">ОБ-5.4.2 </w:t>
      </w:r>
      <w:r>
        <w:t xml:space="preserve">При функциональной проверке базовая плата должна выбирать из Flash bitstream E1 по Board ID; драйверы Linux и MIB должны обеспечивать управление и получение данных, заданных разделом 8. Числовой Board ID и конкретные версии Linux/SNMP источником не заданы.</w:t>
      </w:r>
    </w:p>
    <w:p>
      <w:pPr>
        <w:pStyle w:val="Heading1"/>
        <w:ind w:firstLine="0"/>
      </w:pPr>
      <w:r>
        <w:t xml:space="preserve">6 Требования к сырью, материалам и комплектующим изделиям</w:t>
      </w:r>
    </w:p>
    <w:p>
      <w:pPr>
        <w:pStyle w:val="Req"/>
        <w:ind w:firstLine="0"/>
      </w:pPr>
      <w:r>
        <w:rPr>
          <w:b/>
        </w:rPr>
        <w:t xml:space="preserve">6.1 </w:t>
      </w:r>
      <w:r>
        <w:t xml:space="preserve">При выборе материалов и комплектующих должен обеспечиваться приоритет отечественных материалов и комплектующих с приемкой ОТК.</w:t>
      </w:r>
    </w:p>
    <w:p>
      <w:pPr>
        <w:pStyle w:val="Req"/>
        <w:ind w:firstLine="0"/>
      </w:pPr>
      <w:r>
        <w:rPr>
          <w:b/>
        </w:rPr>
        <w:t xml:space="preserve">6.2 </w:t>
      </w:r>
      <w:r>
        <w:t xml:space="preserve">При отсутствии отечественных аналогов допускается применение импортной ЭКБ промышленного температурного диапазона.</w:t>
      </w:r>
    </w:p>
    <w:p>
      <w:pPr>
        <w:pStyle w:val="Req"/>
        <w:ind w:firstLine="0"/>
      </w:pPr>
      <w:r>
        <w:rPr>
          <w:b/>
        </w:rPr>
        <w:t xml:space="preserve">6.3 </w:t>
      </w:r>
      <w:r>
        <w:t xml:space="preserve">Соответствие требованиям 6.1 и 6.2 должно подтверждаться проверкой перечня примененных материалов и комплектующих, документов об их происхождении, наличии отечественных аналогов и приемке ОТК.</w:t>
      </w:r>
    </w:p>
    <w:p>
      <w:pPr>
        <w:pStyle w:val="Heading1"/>
        <w:ind w:firstLine="0"/>
      </w:pPr>
      <w:r>
        <w:t xml:space="preserve">7 Требования к консервации, упаковке и маркировке</w:t>
      </w:r>
    </w:p>
    <w:p>
      <w:pPr>
        <w:pStyle w:val="Req"/>
        <w:ind w:firstLine="0"/>
      </w:pPr>
      <w:r>
        <w:rPr>
          <w:b/>
        </w:rPr>
        <w:t xml:space="preserve">7.1 </w:t>
      </w:r>
      <w:r>
        <w:t xml:space="preserve">На изделие должны быть нанесены децимальный номер, серийный номер и обозначение ревизии.</w:t>
      </w:r>
    </w:p>
    <w:p>
      <w:pPr>
        <w:pStyle w:val="Req"/>
        <w:ind w:firstLine="0"/>
      </w:pPr>
      <w:r>
        <w:rPr>
          <w:b/>
        </w:rPr>
        <w:t xml:space="preserve">7.2 </w:t>
      </w:r>
      <w:r>
        <w:t xml:space="preserve">Порты должны быть промаркированы E1-1…E1-8.</w:t>
      </w:r>
    </w:p>
    <w:p>
      <w:pPr>
        <w:pStyle w:val="Req"/>
        <w:ind w:firstLine="0"/>
      </w:pPr>
      <w:r>
        <w:rPr>
          <w:b/>
        </w:rPr>
        <w:t xml:space="preserve">7.3 </w:t>
      </w:r>
      <w:r>
        <w:t xml:space="preserve">Каждое изделие должно поставляться в индивидуальной таре с ESD-защитой.</w:t>
      </w:r>
    </w:p>
    <w:p>
      <w:pPr>
        <w:pStyle w:val="Req"/>
        <w:ind w:firstLine="0"/>
      </w:pPr>
      <w:r>
        <w:rPr>
          <w:b/>
        </w:rPr>
        <w:t xml:space="preserve">7.4 </w:t>
      </w:r>
      <w:r>
        <w:t xml:space="preserve">Срок хранения изделия в заводской таре должен составлять не менее 1 года по ГОСТ 15150.</w:t>
      </w:r>
    </w:p>
    <w:p>
      <w:pPr>
        <w:pStyle w:val="Req"/>
        <w:ind w:firstLine="0"/>
      </w:pPr>
      <w:r>
        <w:rPr>
          <w:b/>
        </w:rPr>
        <w:t xml:space="preserve">7.5 </w:t>
      </w:r>
      <w:r>
        <w:t xml:space="preserve">Условия и методы консервации — [уточнить: сведения необходимы для завершения требований к консервации; источник решения не указан].</w:t>
      </w:r>
    </w:p>
    <w:p>
      <w:pPr>
        <w:pStyle w:val="Req"/>
        <w:ind w:firstLine="0"/>
      </w:pPr>
      <w:r>
        <w:rPr>
          <w:b/>
        </w:rPr>
        <w:t xml:space="preserve">7.6 </w:t>
      </w:r>
      <w:r>
        <w:t xml:space="preserve">Проверка требований раздела выполняется осмотром изделия и упаковки и анализом документации на тару: должны присутствовать все обозначения по 7.1 и маркировка E1-1…E1-8; тара должна быть индивидуальной и иметь ESD-защиту; документация должна подтверждать хранение не менее 1 года по ГОСТ 15150. Проверка консервации заблокирована до уточнения 7.5.</w:t>
      </w:r>
    </w:p>
    <w:p>
      <w:pPr>
        <w:pStyle w:val="Heading1"/>
        <w:ind w:firstLine="0"/>
      </w:pPr>
      <w:r>
        <w:t xml:space="preserve">8 Специальные требования</w:t>
      </w:r>
    </w:p>
    <w:p>
      <w:pPr>
        <w:pStyle w:val="Req"/>
        <w:ind w:firstLine="0"/>
      </w:pPr>
      <w:r>
        <w:rPr>
          <w:b/>
        </w:rPr>
        <w:t xml:space="preserve">СП-8.1 </w:t>
      </w:r>
      <w:r>
        <w:t xml:space="preserve">РМО должно быть реализовано на C++/Qt и иметь мнемосхему восьми портов.</w:t>
      </w:r>
    </w:p>
    <w:p>
      <w:pPr>
        <w:pStyle w:val="Req"/>
        <w:ind w:firstLine="0"/>
      </w:pPr>
      <w:r>
        <w:rPr>
          <w:b/>
        </w:rPr>
        <w:t xml:space="preserve">СП-8.2 </w:t>
      </w:r>
      <w:r>
        <w:t xml:space="preserve">РМО должно отображать по портам LOS, LOF, AIS, RAI, счетчики G.826, активный профиль SAToP/CESoPSN и источник тактирования.</w:t>
      </w:r>
    </w:p>
    <w:p>
      <w:pPr>
        <w:pStyle w:val="Req"/>
        <w:ind w:firstLine="0"/>
      </w:pPr>
      <w:r>
        <w:rPr>
          <w:b/>
        </w:rPr>
        <w:t xml:space="preserve">СП-8.3 </w:t>
      </w:r>
      <w:r>
        <w:t xml:space="preserve">РМО должно обеспечивать команды включения и отключения портов, изменения джиттер-буфера, включения диагностических петель и PRBS.</w:t>
      </w:r>
    </w:p>
    <w:p>
      <w:pPr>
        <w:pStyle w:val="Req"/>
        <w:ind w:firstLine="0"/>
      </w:pPr>
      <w:r>
        <w:rPr>
          <w:b/>
        </w:rPr>
        <w:t xml:space="preserve">СП-8.4 </w:t>
      </w:r>
      <w:r>
        <w:t xml:space="preserve">При проверке РМО следует для каждого порта поочередно сформировать LOS, LOF, AIS и RAI, изменить счетчики G.826, выбрать SAToP/CESoPSN и источник тактирования: мнемосхема должна отображать соответствующие состояния и значения. Затем следует выполнить каждую команду по СП-8.3: выбранный порт должен включаться/отключаться, значение джиттер-буфера изменяться в пределах 1–64 мс, выбранная петля и PRBS активироваться. Время обновления, форматы и права доступа источником не заданы.</w:t>
      </w:r>
    </w:p>
    <w:p>
      <w:r>
        <w:br w:type="page"/>
      </w:r>
    </w:p>
    <w:p>
      <w:pPr>
        <w:pStyle w:val="Heading1"/>
        <w:ind w:firstLine="0"/>
      </w:pPr>
      <w:r>
        <w:t xml:space="preserve">ПОДПИСИ РАЗРАБОТЧИКОВ И СОГЛАСУЮЩИХ ОРГАНИЗАЦИЙ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rPr>
          <w:tblHeader/>
          <w:cantSplit/>
        </w:trPr>
        <w:tc>
          <w:tcPr>
            <w:shd w:fill="D9E2F3"/>
            <w:vAlign w:val="center"/>
          </w:tcPr>
          <w:p>
            <w:pPr>
              <w:jc w:val="center"/>
              <w:ind w:firstLine="0"/>
            </w:pPr>
            <w:r>
              <w:rPr>
                <w:b/>
                <w:sz w:val="16"/>
                <w:szCs w:val="16"/>
              </w:rPr>
              <w:t xml:space="preserve">Роль / организация</w:t>
            </w:r>
          </w:p>
        </w:tc>
        <w:tc>
          <w:tcPr>
            <w:shd w:fill="D9E2F3"/>
            <w:vAlign w:val="center"/>
          </w:tcPr>
          <w:p>
            <w:pPr>
              <w:jc w:val="center"/>
              <w:ind w:firstLine="0"/>
            </w:pPr>
            <w:r>
              <w:rPr>
                <w:b/>
                <w:sz w:val="16"/>
                <w:szCs w:val="16"/>
              </w:rPr>
              <w:t xml:space="preserve">Должность</w:t>
            </w:r>
          </w:p>
        </w:tc>
        <w:tc>
          <w:tcPr>
            <w:shd w:fill="D9E2F3"/>
            <w:vAlign w:val="center"/>
          </w:tcPr>
          <w:p>
            <w:pPr>
              <w:jc w:val="center"/>
              <w:ind w:firstLine="0"/>
            </w:pPr>
            <w:r>
              <w:rPr>
                <w:b/>
                <w:sz w:val="16"/>
                <w:szCs w:val="16"/>
              </w:rPr>
              <w:t xml:space="preserve">Подпись</w:t>
            </w:r>
          </w:p>
        </w:tc>
        <w:tc>
          <w:tcPr>
            <w:shd w:fill="D9E2F3"/>
            <w:vAlign w:val="center"/>
          </w:tcPr>
          <w:p>
            <w:pPr>
              <w:jc w:val="center"/>
              <w:ind w:firstLine="0"/>
            </w:pPr>
            <w:r>
              <w:rPr>
                <w:b/>
                <w:sz w:val="16"/>
                <w:szCs w:val="16"/>
              </w:rPr>
              <w:t xml:space="preserve">Инициалы, фамилия</w:t>
            </w:r>
          </w:p>
        </w:tc>
        <w:tc>
          <w:tcPr>
            <w:shd w:fill="D9E2F3"/>
            <w:vAlign w:val="center"/>
          </w:tcPr>
          <w:p>
            <w:pPr>
              <w:jc w:val="center"/>
              <w:ind w:firstLine="0"/>
            </w:pPr>
            <w:r>
              <w:rPr>
                <w:b/>
                <w:sz w:val="16"/>
                <w:szCs w:val="16"/>
              </w:rPr>
              <w:t xml:space="preserve">Дата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Разработчик ТЗ — ООО «тушканчик»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[уточнить]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__________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[уточнить]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[уточнить]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Согласующая организация — [уточнить]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[уточнить]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__________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[уточнить]</w:t>
            </w:r>
          </w:p>
        </w:tc>
        <w:tc>
          <w:tcPr>
            <w:vAlign w:val="center"/>
          </w:tcPr>
          <w:p>
            <w:pPr>
              <w:ind w:firstLine="0"/>
            </w:pPr>
            <w:r>
              <w:rPr>
                <w:sz w:val="16"/>
                <w:szCs w:val="16"/>
              </w:rPr>
              <w:t xml:space="preserve">[уточнить]</w:t>
            </w:r>
          </w:p>
        </w:tc>
      </w:tr>
    </w:tbl>
    <w:sectPr>
      <w:headerReference w:type="default" r:id="rId1"/>
      <w:titlePg/>
      <w:pgSz w:w="11906" w:h="16838"/>
      <w:pgMar w:top="1134" w:right="850" w:bottom="1134" w:left="1417" w:header="454" w:footer="454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jc w:val="right"/>
    </w:pPr>
    <w:r>
      <w:fldChar w:fldCharType="begin"/>
    </w:r>
    <w:r>
      <w:instrText> PAGE </w:instrText>
    </w:r>
    <w:r>
      <w:fldChar w:fldCharType="end"/>
    </w:r>
  </w:p>
</w:hd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/>
        <w:sz w:val="22"/>
        <w:szCs w:val="22"/>
      </w:rPr>
    </w:rPrDefault>
    <w:pPrDefault>
      <w:pPr>
        <w:spacing w:after="0" w:line="276" w:lineRule="auto"/>
        <w:ind w:firstLine="709"/>
      </w:pPr>
    </w:pPrDefault>
  </w:docDefaults>
  <w:style w:type="paragraph" w:default="1" w:styleId="Normal">
    <w:name w:val="Normal"/>
  </w:style>
  <w:style w:type="paragraph" w:styleId="Req">
    <w:name w:val="Req"/>
    <w:basedOn w:val="Normal"/>
    <w:pPr>
      <w:spacing w:after="60"/>
      <w:keepLines/>
      <w:ind w:firstLine="0"/>
    </w:pPr>
    <w:rPr>
      <w:sz w:val="21"/>
    </w:rPr>
  </w:style>
  <w:style w:type="paragraph" w:styleId="Heading1">
    <w:name w:val="heading 1"/>
    <w:basedOn w:val="Normal"/>
    <w:pPr>
      <w:keepNext/>
      <w:spacing w:before="240" w:after="120"/>
      <w:ind w:firstLine="0"/>
    </w:pPr>
    <w:rPr>
      <w:b/>
      <w:sz w:val="28"/>
    </w:rPr>
  </w:style>
  <w:style w:type="paragraph" w:styleId="Heading2">
    <w:name w:val="heading 2"/>
    <w:basedOn w:val="Normal"/>
    <w:pPr>
      <w:keepNext/>
      <w:spacing w:before="200" w:after="80"/>
      <w:ind w:firstLine="0"/>
    </w:pPr>
    <w:rPr>
      <w:b/>
      <w:sz w:val="24"/>
    </w:rPr>
  </w:style>
  <w:style w:type="paragraph" w:styleId="Heading3">
    <w:name w:val="heading 3"/>
    <w:basedOn w:val="Normal"/>
    <w:pPr>
      <w:keepNext/>
      <w:spacing w:before="160" w:after="60"/>
      <w:ind w:firstLine="0"/>
    </w:pPr>
    <w:rPr>
      <w:b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Техническое задание — Развитие-ТСА</dc:title>
  <dc:creator>ООО «тушканчик»</dc:creator>
  <dc:subject>Составная часть ОКР</dc:subject>
</cp:coreProperties>
</file>