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t xml:space="preserve">СОГЛАСОВАНО</w:t>
      </w:r>
    </w:p>
    <w:p>
      <w:r>
        <w:t xml:space="preserve">должность, заказчик (НИО заказчика)
[уточнить]
подпись, инициалы, фамилия
____________________________
«___» ____________ 20__ г.</w:t>
      </w:r>
    </w:p>
    <w:p>
      <w:r>
        <w:t xml:space="preserve">СОГЛАСОВАНО</w:t>
      </w:r>
    </w:p>
    <w:p>
      <w:r>
        <w:t xml:space="preserve">должность, исполнитель составной части ОКР
[организация-исполнитель]
подпись, инициалы, фамилия
____________________________
«___» ____________ 20__ г.</w:t>
      </w:r>
    </w:p>
    <w:p>
      <w:r>
        <w:t xml:space="preserve">УТВЕРЖДАЮ</w:t>
      </w:r>
    </w:p>
    <w:p>
      <w:r>
        <w:t xml:space="preserve">должность, головной исполнитель ОКР
[уточнить]
подпись, инициалы, фамилия
____________________________
«___» ____________ 20__ г.</w:t>
      </w:r>
    </w:p>
    <w:p>
      <w:r>
        <w:t xml:space="preserve">СОГЛАСОВАНО</w:t>
      </w:r>
    </w:p>
    <w:p>
      <w:r>
        <w:t xml:space="preserve">должность, исполнитель составной части ОКР
[организация-исполнитель]
подпись, инициалы, фамилия
____________________________
«___» ____________ 20__ г.</w:t>
      </w:r>
    </w:p>
    <w:p>
      <w:r>
        <w:t xml:space="preserve">ТЕХНИЧЕСКОЕ ЗАДАНИЕ
НА СОСТАВНУЮ ЧАСТЬ ОПЫТНО-КОНСТРУКТОРСКОЙ РАБОТЫ</w:t>
      </w:r>
    </w:p>
    <w:p>
      <w:r>
        <w:t xml:space="preserve">Разработка сменной интерфейсной субплаты 4×IEEE C37.94 и функционального модуля релейной защиты
Шифр ОКР «Развитие-ТСА»
Обозначение составной части изделия: [уточнить]
Регистрационный номер: [уточнить]
Действует с дополнением: ____________________</w:t>
      </w:r>
    </w:p>
    <w:p>
      <w:r>
        <w:br w:type="page"/>
      </w:r>
    </w:p>
    <w:p>
      <w:pPr>
        <w:pStyle w:val="Heading 1"/>
      </w:pPr>
      <w:r>
        <w:t xml:space="preserve">ЛИСТ СОГЛАСОВАНИЯ</w:t>
      </w:r>
    </w:p>
    <w:p>
      <w:r>
        <w:t xml:space="preserve">Настоящий лист предназначен для фиксации согласования ТЗ на составную часть ОКР по 7.2 ГОСТ 15.016-2016. Уровни должностных лиц и состав иных согласующих организаций не заданы.</w:t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Организация / роль</w:t>
            </w:r>
          </w:p>
        </w:tc>
        <w:tc>
          <w:p>
            <w:r>
              <w:t>Фамилия, инициалы</w:t>
            </w:r>
          </w:p>
        </w:tc>
        <w:tc>
          <w:p>
            <w:r>
              <w:t>Подпись</w:t>
            </w:r>
          </w:p>
        </w:tc>
        <w:tc>
          <w:p>
            <w:r>
              <w:t>Дата</w:t>
            </w:r>
          </w:p>
        </w:tc>
      </w:tr>
      <w:tr>
        <w:tc>
          <w:p>
            <w:r>
              <w:t>Заказчик (либо НИО заказчика)</w:t>
            </w:r>
          </w:p>
        </w:tc>
        <w:tc>
          <w:p>
            <w:r>
              <w:t>[уточнить]</w:t>
            </w:r>
          </w:p>
        </w:tc>
        <w:tc>
          <w:p>
            <w:r>
              <w:t>____________</w:t>
            </w:r>
          </w:p>
        </w:tc>
        <w:tc>
          <w:p>
            <w:r>
              <w:t>«___» ______ 20__ г.</w:t>
            </w:r>
          </w:p>
        </w:tc>
      </w:tr>
      <w:tr>
        <w:tc>
          <w:p>
            <w:r>
              <w:t>Исполнитель СЧ ОКР</w:t>
            </w:r>
          </w:p>
        </w:tc>
        <w:tc>
          <w:p>
            <w:r>
              <w:t>[уточнить]</w:t>
            </w:r>
          </w:p>
        </w:tc>
        <w:tc>
          <w:p>
            <w:r>
              <w:t>____________</w:t>
            </w:r>
          </w:p>
        </w:tc>
        <w:tc>
          <w:p>
            <w:r>
              <w:t>«___» ______ 20__ г.</w:t>
            </w:r>
          </w:p>
        </w:tc>
      </w:tr>
      <w:tr>
        <w:tc>
          <w:p>
            <w:r>
              <w:t>Головной исполнитель ОКР</w:t>
            </w:r>
          </w:p>
        </w:tc>
        <w:tc>
          <w:p>
            <w:r>
              <w:t>[уточнить]</w:t>
            </w:r>
          </w:p>
        </w:tc>
        <w:tc>
          <w:p>
            <w:r>
              <w:t>____________</w:t>
            </w:r>
          </w:p>
        </w:tc>
        <w:tc>
          <w:p>
            <w:r>
              <w:t>«___» ______ 20__ г.</w:t>
            </w:r>
          </w:p>
        </w:tc>
      </w:tr>
      <w:tr>
        <w:tc>
          <w:p>
            <w:r>
              <w:t>Другие организации — по решению заказчика или головного исполнителя ОКР, согласованному с заказчиком</w:t>
            </w:r>
          </w:p>
        </w:tc>
        <w:tc>
          <w:p>
            <w:r>
              <w:t>[при наличии — уточнить]</w:t>
            </w:r>
          </w:p>
        </w:tc>
        <w:tc>
          <w:p>
            <w:r>
              <w:t>____________</w:t>
            </w:r>
          </w:p>
        </w:tc>
        <w:tc>
          <w:p>
            <w:r>
              <w:t>«___» ______ 20__ г.</w:t>
            </w:r>
          </w:p>
        </w:tc>
      </w:tr>
    </w:tbl>
    <w:p>
      <w:r>
        <w:t xml:space="preserve"/>
      </w:r>
    </w:p>
    <w:p>
      <w:r>
        <w:t xml:space="preserve">Примечание — ТЗ на СЧ ОКР представляют на согласование заказчику после согласования со всеми заинтересованными предприятиями (организациями).</w:t>
      </w:r>
    </w:p>
    <w:p>
      <w:r>
        <w:br w:type="page"/>
      </w:r>
    </w:p>
    <w:p>
      <w:pPr>
        <w:pStyle w:val="Heading 1"/>
      </w:pPr>
      <w:r>
        <w:t xml:space="preserve">ПЕРЕЧЕНЬ ОБОЗНАЧЕНИЙ, СОКРАЩЕНИЙ И ТЕРМИНОВ</w:t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Обозначение / термин</w:t>
            </w:r>
          </w:p>
        </w:tc>
        <w:tc>
          <w:p>
            <w:r>
              <w:t>Раскрытие или значение в настоящем ТЗ</w:t>
            </w:r>
          </w:p>
        </w:tc>
      </w:tr>
      <w:tr>
        <w:tc>
          <w:p>
            <w:r>
              <w:t>AMC</w:t>
            </w:r>
          </w:p>
        </w:tc>
        <w:tc>
          <w:p>
            <w:r>
              <w:t>Семейство универсального базового модуля, на котором устанавливается изделие; официальную расшифровку обозначения [уточнить].</w:t>
            </w:r>
          </w:p>
        </w:tc>
      </w:tr>
      <w:tr>
        <w:tc>
          <w:p>
            <w:r>
              <w:t>ПЛИС</w:t>
            </w:r>
          </w:p>
        </w:tc>
        <w:tc>
          <w:p>
            <w:r>
              <w:t>Программируемая логическая часть базовой платы; полную расшифровку обозначения [уточнить].</w:t>
            </w:r>
          </w:p>
        </w:tc>
      </w:tr>
      <w:tr>
        <w:tc>
          <w:p>
            <w:r>
              <w:t>B2B</w:t>
            </w:r>
          </w:p>
        </w:tc>
        <w:tc>
          <w:p>
            <w:r>
              <w:t>Межплатное соединение субплаты с базовой платой; расширение обозначения [уточнить].</w:t>
            </w:r>
          </w:p>
        </w:tc>
      </w:tr>
      <w:tr>
        <w:tc>
          <w:p>
            <w:r>
              <w:t>Board ID</w:t>
            </w:r>
          </w:p>
        </w:tc>
        <w:tc>
          <w:p>
            <w:r>
              <w:t>Идентификатор платы, хранимый в EEPROM; значение для изделия — 0x05.</w:t>
            </w:r>
          </w:p>
        </w:tc>
      </w:tr>
      <w:tr>
        <w:tc>
          <w:p>
            <w:r>
              <w:t>MMC</w:t>
            </w:r>
          </w:p>
        </w:tc>
        <w:tc>
          <w:p>
            <w:r>
              <w:t>Интерфейс/средство управления базовой платы, предоставляемое субплате; расширение обозначения [уточнить].</w:t>
            </w:r>
          </w:p>
        </w:tc>
      </w:tr>
      <w:tr>
        <w:tc>
          <w:p>
            <w:r>
              <w:t>РМО</w:t>
            </w:r>
          </w:p>
        </w:tc>
        <w:tc>
          <w:p>
            <w:r>
              <w:t>Рабочее место оператора; в РМО передаются телеметрия, сообщения и отчёты.</w:t>
            </w:r>
          </w:p>
        </w:tc>
      </w:tr>
      <w:tr>
        <w:tc>
          <w:p>
            <w:r>
              <w:t>ОКР</w:t>
            </w:r>
          </w:p>
        </w:tc>
        <w:tc>
          <w:p>
            <w:r>
              <w:t>Опытно-конструкторская работа.</w:t>
            </w:r>
          </w:p>
        </w:tc>
      </w:tr>
      <w:tr>
        <w:tc>
          <w:p>
            <w:r>
              <w:t>РКД</w:t>
            </w:r>
          </w:p>
        </w:tc>
        <w:tc>
          <w:p>
            <w:r>
              <w:t>Рабочая конструкторская документация.</w:t>
            </w:r>
          </w:p>
        </w:tc>
      </w:tr>
      <w:tr>
        <w:tc>
          <w:p>
            <w:r>
              <w:t>ПМИ</w:t>
            </w:r>
          </w:p>
        </w:tc>
        <w:tc>
          <w:p>
            <w:r>
              <w:t>Программа и методика испытаний; реквизиты [уточнить].</w:t>
            </w:r>
          </w:p>
        </w:tc>
      </w:tr>
      <w:tr>
        <w:tc>
          <w:p>
            <w:r>
              <w:t>ДММП</w:t>
            </w:r>
          </w:p>
        </w:tc>
        <w:tc>
          <w:p>
            <w:r>
              <w:t>Обозначение семейства базовых модулей; расшифровка [уточнить].</w:t>
            </w:r>
          </w:p>
        </w:tc>
      </w:tr>
      <w:tr>
        <w:tc>
          <w:p>
            <w:r>
              <w:t>РЗА</w:t>
            </w:r>
          </w:p>
        </w:tc>
        <w:tc>
          <w:p>
            <w:r>
              <w:t>Релейная защита и автоматика.</w:t>
            </w:r>
          </w:p>
        </w:tc>
      </w:tr>
      <w:tr>
        <w:tc>
          <w:p>
            <w:r>
              <w:t>ДЗЛ</w:t>
            </w:r>
          </w:p>
        </w:tc>
        <w:tc>
          <w:p>
            <w:r>
              <w:t>Дифференциальная защита линии.</w:t>
            </w:r>
          </w:p>
        </w:tc>
      </w:tr>
      <w:tr>
        <w:tc>
          <w:p>
            <w:r>
              <w:t>ДФЗ</w:t>
            </w:r>
          </w:p>
        </w:tc>
        <w:tc>
          <w:p>
            <w:r>
              <w:t>Дифференциально-фазная защита.</w:t>
            </w:r>
          </w:p>
        </w:tc>
      </w:tr>
      <w:tr>
        <w:tc>
          <w:p>
            <w:r>
              <w:t>SFP, LC, CDR, DDM/DOM, I2C, LOS, LOF, PTPv2, PDV, QoS, L2/L3, UDP/IP, SoC FPGA, PRBS, MTBF, Flash, MIB, TX/RX</w:t>
            </w:r>
          </w:p>
        </w:tc>
        <w:tc>
          <w:p>
            <w:r>
              <w:t>Специальные обозначения, приведённые в исходных требованиях; полные расшифровки, если они требуются для РКД и ПМИ, [уточнить] без изменения обозначений.</w:t>
            </w:r>
          </w:p>
        </w:tc>
      </w:tr>
      <w:tr>
        <w:tc>
          <w:p>
            <w:r>
              <w:t>СЧ</w:t>
            </w:r>
          </w:p>
        </w:tc>
        <w:tc>
          <w:p>
            <w:r>
              <w:t>Составная часть.</w:t>
            </w:r>
          </w:p>
        </w:tc>
      </w:tr>
      <w:tr>
        <w:tc>
          <w:p>
            <w:r>
              <w:t>ТЗ</w:t>
            </w:r>
          </w:p>
        </w:tc>
        <w:tc>
          <w:p>
            <w:r>
              <w:t>Техническое задание.</w:t>
            </w:r>
          </w:p>
        </w:tc>
      </w:tr>
      <w:tr>
        <w:tc>
          <w:p>
            <w:r>
              <w:t>ЭРИ</w:t>
            </w:r>
          </w:p>
        </w:tc>
        <w:tc>
          <w:p>
            <w:r>
              <w:t>Электрорадиоизделия.</w:t>
            </w:r>
          </w:p>
        </w:tc>
      </w:tr>
      <w:tr>
        <w:tc>
          <w:p>
            <w:r>
              <w:t>ГОСТ, IEEE, ITU-T, SFF, PICMG</w:t>
            </w:r>
          </w:p>
        </w:tc>
        <w:tc>
          <w:p>
            <w:r>
              <w:t>Обозначения нормативных и технических документов, сохранённые в форме источников.</w:t>
            </w:r>
          </w:p>
        </w:tc>
      </w:tr>
    </w:tbl>
    <w:p>
      <w:r>
        <w:t xml:space="preserve"/>
      </w:r>
    </w:p>
    <w:p>
      <w:pPr>
        <w:pStyle w:val="Heading 1"/>
      </w:pPr>
      <w:r>
        <w:t xml:space="preserve">ПЕРЕЧЕНЬ ПРИМЕНИМЫХ НОРМАТИВНЫХ И СПРАВОЧНЫХ ДОКУМЕНТОВ</w:t>
      </w:r>
    </w:p>
    <w:p>
      <w:r>
        <w:t xml:space="preserve">Перечень сформирован по исходным требованиям. Редакции документов, кроме прямо указанных, не заданы.</w:t>
      </w:r>
    </w:p>
    <w:p>
      <w:pPr>
        <w:pStyle w:val="List Bullet"/>
      </w:pPr>
      <w:r>
        <w:t xml:space="preserve">ГОСТ 15.016-2016 — в применимой части разделы 6.1, 6.2 и 7.1;</w:t>
      </w:r>
    </w:p>
    <w:p>
      <w:pPr>
        <w:pStyle w:val="List Bullet"/>
      </w:pPr>
      <w:r>
        <w:t xml:space="preserve">IEEE C37.94-2017 и совместимость с IEEE C37.94-2002;</w:t>
      </w:r>
    </w:p>
    <w:p>
      <w:pPr>
        <w:pStyle w:val="List Bullet"/>
      </w:pPr>
      <w:r>
        <w:t xml:space="preserve">ITU-T G.823;</w:t>
      </w:r>
    </w:p>
    <w:p>
      <w:pPr>
        <w:pStyle w:val="List Bullet"/>
      </w:pPr>
      <w:r>
        <w:t xml:space="preserve">SFF-8472;</w:t>
      </w:r>
    </w:p>
    <w:p>
      <w:pPr>
        <w:pStyle w:val="List Bullet"/>
      </w:pPr>
      <w:r>
        <w:t xml:space="preserve">IEEE 802.1p/Q;</w:t>
      </w:r>
    </w:p>
    <w:p>
      <w:pPr>
        <w:pStyle w:val="List Bullet"/>
      </w:pPr>
      <w:r>
        <w:t xml:space="preserve">PICMG AMC.0 R2.0;</w:t>
      </w:r>
    </w:p>
    <w:p>
      <w:pPr>
        <w:pStyle w:val="List Bullet"/>
      </w:pPr>
      <w:r>
        <w:t xml:space="preserve">ГОСТ РВ 20.39.304-98;</w:t>
      </w:r>
    </w:p>
    <w:p>
      <w:pPr>
        <w:pStyle w:val="List Bullet"/>
      </w:pPr>
      <w:r>
        <w:t xml:space="preserve">ГОСТ В 25803-91;</w:t>
      </w:r>
    </w:p>
    <w:p>
      <w:pPr>
        <w:pStyle w:val="List Bullet"/>
      </w:pPr>
      <w:r>
        <w:t xml:space="preserve">ГОСТ 2.114-2016;</w:t>
      </w:r>
    </w:p>
    <w:p>
      <w:pPr>
        <w:pStyle w:val="List Bullet"/>
      </w:pPr>
      <w:r>
        <w:t xml:space="preserve">ГОСТ РВ 15.201-2003;</w:t>
      </w:r>
    </w:p>
    <w:p>
      <w:pPr>
        <w:pStyle w:val="List Bullet"/>
      </w:pPr>
      <w:r>
        <w:t xml:space="preserve">ГОСТ 15150.</w:t>
      </w:r>
    </w:p>
    <w:p>
      <w:r>
        <w:t xml:space="preserve">Примечание — Настоящий документ не подменяет требования перечисленных документов; применимые положения подлежат учёту при разработке РКД, программного обеспечения и ПМИ.</w:t>
      </w:r>
    </w:p>
    <w:p>
      <w:r>
        <w:br w:type="page"/>
      </w:r>
    </w:p>
    <w:p>
      <w:pPr>
        <w:pStyle w:val="Heading 1"/>
      </w:pPr>
      <w:r>
        <w:t xml:space="preserve">1 Наименование, шифр, основание, исполнители и сроки ОКР</w:t>
      </w:r>
    </w:p>
    <w:p>
      <w:r>
        <w:t xml:space="preserve">1.1 Наименование составной части: сменная интерфейсная субплата 4×IEEE C37.94 и функциональный модуль релейной защиты для универсального базового модуля AMC семейства ДММП.</w:t>
      </w:r>
    </w:p>
    <w:p>
      <w:r>
        <w:t xml:space="preserve">1.2 Шифр ОКР: «Развитие-ТСА». Для составной части сохраняется шифр ОКР; дополнительный шифр составной части [уточнить].</w:t>
      </w:r>
    </w:p>
    <w:p>
      <w:r>
        <w:t xml:space="preserve">1.3 Основание: приказ об открытии инициативной ОКР № [уточнить] от [уточнить].</w:t>
      </w:r>
    </w:p>
    <w:p>
      <w:r>
        <w:t xml:space="preserve">1.4 Исполнитель: [организация-исполнитель]. Головной исполнитель ОКР: [уточнить]. Заказчик: [уточнить].</w:t>
      </w:r>
    </w:p>
    <w:p>
      <w:r>
        <w:t xml:space="preserve">1.5 Сроки выполнения: связать с утверждённым планом-графиком разработки РКД, программной документации, изготовления образцов и испытаний. Календарные даты не заданы — [уточнить].</w:t>
      </w:r>
    </w:p>
    <w:p>
      <w:r>
        <w:t xml:space="preserve">Проверка: инспекцией проверить приказ, исполнителя и утверждённый план-график; соответствие шифра составной части шифру ОКР проверить по комплекту документов.</w:t>
      </w:r>
    </w:p>
    <w:p>
      <w:pPr>
        <w:pStyle w:val="Heading 1"/>
      </w:pPr>
      <w:r>
        <w:t xml:space="preserve">2 Цель выполнения, наименование, назначение и область применения изделия</w:t>
      </w:r>
    </w:p>
    <w:p>
      <w:r>
        <w:t xml:space="preserve">2.1 Цель — разработать сменную интерфейсную субплату с четырьмя независимыми оптическими портами IEEE C37.94 и функциональный модуль релейной защиты, обеспечивающие для терминалов РЗА/ДЗЛ и ДФЗ, противоаварийной автоматики и регистраторов аварийных событий подстанций ДММП прозрачную передачу N×64 кбит/с с фиксированной низкой задержкой, симметрией, резервированием P2 и безопасным аварийным поведением.</w:t>
      </w:r>
    </w:p>
    <w:p>
      <w:r>
        <w:t xml:space="preserve">2.2 Аппаратная часть: субплата, оптические интерфейсы, защитные цепи, трансиверы и EEPROM. Логическая часть: функциональный модуль ПЛИС базовой платы, автоматически активируемый по Board ID.</w:t>
      </w:r>
    </w:p>
    <w:p>
      <w:r>
        <w:t xml:space="preserve">2.3 Изделие устанавливается как AMC на Carrier платформы ДММП и применяется в составе универсального базового модуля AMC семейства ДММП.</w:t>
      </w:r>
    </w:p>
    <w:p>
      <w:r>
        <w:t xml:space="preserve">2.4 Проверка: демонстрацией установки AMC на Carrier и инспекцией состава подтвердить аппаратную и логическую части; демонстрацией передачи подтвердить назначение по 2.1.</w:t>
      </w:r>
    </w:p>
    <w:p>
      <w:pPr>
        <w:pStyle w:val="Heading 1"/>
      </w:pPr>
      <w:r>
        <w:t xml:space="preserve">3 Технические требования к изделию</w:t>
      </w:r>
    </w:p>
    <w:p>
      <w:pPr>
        <w:pStyle w:val="Heading 2"/>
      </w:pPr>
      <w:r>
        <w:t xml:space="preserve">3.1 Архитектура и оптические интерфейсы</w:t>
      </w:r>
    </w:p>
    <w:p>
      <w:r>
        <w:t xml:space="preserve">3.1.1 Субплата должна содержать четыре независимых оптических порта LC/SFP, трансиверы 850/1310 нм с CDR, защитные цепи, DDM/DOM и EEPROM с Board ID 0x05 и индикацией.</w:t>
      </w:r>
    </w:p>
    <w:p>
      <w:r>
        <w:t xml:space="preserve">3.1.2 Связь субплаты с базовой платой должна выполняться по B2B. Базовая плата должна предоставлять +12 В/+3,3 В, MMC, тактирование и автоматическую загрузку bitstream из Flash по Board ID.</w:t>
      </w:r>
    </w:p>
    <w:p>
      <w:r>
        <w:t xml:space="preserve">3.1.3 Должны быть четыре экранированные корзины SFP / дуплексные LC с отдельными волокнами TX/RX. Для оптики 850 нм: MM 50/125 или 62,5/125 мкм, до 2 км; для 1310 нм: SM 9/125 мкм, 20–40 км. Варианты LC/SFP сохраняются; окончательное исполнение [уточнить].</w:t>
      </w:r>
    </w:p>
    <w:p>
      <w:r>
        <w:t xml:space="preserve">3.1.4 Должны быть линии TX_DISABLE, TX_FAULT и RX_LOS. Опрос DDM/DOM по I2C — согласно SFF-8472; контролю подлежат мощность TX/RX, температура и ток лазера, с передачей телеметрии в РМО.</w:t>
      </w:r>
    </w:p>
    <w:p>
      <w:r>
        <w:t xml:space="preserve">3.1.5 На каждом порту независимо должны поддерживаться N = 1…12 каналов по 64 кбит/с; полезная скорость — 64–768 кбит/с; кадровый поток — 2048 кбит/с. Применяется IEEE C37.94-2017 с совместимостью с IEEE C37.94-2002; изменение или инверсия пользовательских битов не допускаются.</w:t>
      </w:r>
    </w:p>
    <w:p>
      <w:r>
        <w:t xml:space="preserve">Проверка: инспекцией и испытанием подтвердить порты, интерфейсы, Board ID, B2B и сигналы; измерением подтвердить скорости и кадровый поток при N = 1…12; испытанием подтвердить отсутствие изменения и инверсии битов и поддерживаемые варианты волокна и дальности. Критерий по окончательному исполнению LC/SFP — [уточнить].</w:t>
      </w:r>
    </w:p>
    <w:p>
      <w:pPr>
        <w:pStyle w:val="Heading 2"/>
      </w:pPr>
      <w:r>
        <w:t xml:space="preserve">3.2 Пакетная передача, резервирование и безопасные состояния</w:t>
      </w:r>
    </w:p>
    <w:p>
      <w:r>
        <w:t xml:space="preserve">3.2.1 C37.94-over-Packet должен использовать Ethernet L2, фиксированный период пакетизации, Fabric 10GbE и Strict Priority QoS по IEEE 802.1p/Q. L3/UDP/IP допускается при необходимости — с процессорным ядром SoC FPGA либо статической аппаратной подстановкой заголовка; вариант [уточнить].</w:t>
      </w:r>
    </w:p>
    <w:p>
      <w:r>
        <w:t xml:space="preserve">3.2.2 Задержка должна быть фиксированной и детерминированной; асимметрия прямого и обратного направлений — не более ±10 мкс во всём диапазоне температур и сетевой нагрузки. Независимый джиттер-буфер должен компенсировать PDV без выпадения кадров.</w:t>
      </w:r>
    </w:p>
    <w:p>
      <w:r>
        <w:t xml:space="preserve">3.2.3 Ретрансляция потерянных пакетов запрещена. Единичный пропуск должен фиксироваться как ошибка и обозначаться Yellow Alarm / LOF. Превышение настраиваемого порога последовательных потерь должно вызывать Laser Off. Число потерь, абсолютная задержка и порог последовательных потерь не заданы — [уточнить].</w:t>
      </w:r>
    </w:p>
    <w:p>
      <w:r>
        <w:t xml:space="preserve">3.2.4 P2 (Hitless 1+1) должен использовать две идентичные копии по независимым трактам, поштучную дедупликацию и обеспечивать отсутствие потери битов при отказе одного пути.</w:t>
      </w:r>
    </w:p>
    <w:p>
      <w:r>
        <w:t xml:space="preserve">3.2.5 При LOS/LOF либо потере сетевого тракта должен формироваться Yellow Alarm или выполняться немедленный Laser Off. Недостоверные, случайные и повторно воспроизведённые устаревшие данные РЗА запрещены. Условия выбора безопасного состояния при сохранении второго пути [уточнить].</w:t>
      </w:r>
    </w:p>
    <w:p>
      <w:r>
        <w:t xml:space="preserve">Проверка: испытать нормальную передачу, сетевую нагрузку, фиксированную задержку, асимметрию и компенсацию PDV; внести единичный пропуск и последовательные потери, зафиксировать Yellow Alarm/LOF и Laser Off при пороге; отдельно отказать каждый P2-тракт и наблюдать отсутствие потери битов, дедупликацию и отсутствие устаревших данных. Числовые критерии и выбор безопасного состояния блокированы до уточнения.</w:t>
      </w:r>
    </w:p>
    <w:p>
      <w:pPr>
        <w:pStyle w:val="Heading 2"/>
      </w:pPr>
      <w:r>
        <w:t xml:space="preserve">3.3 Тактирование, диагностика и конструкция</w:t>
      </w:r>
    </w:p>
    <w:p>
      <w:r>
        <w:t xml:space="preserve">3.3.1 Для каждого порта должны поддерживаться режимы: Loop timing от входного сигнала, TCLK 19,44 МГц, PTPv2 и локальный Holdover. Восстановленные 2048 кГц выбранного порта должны выдаваться в RX_CLK; джиттер/вандер — по ITU-T G.823.</w:t>
      </w:r>
    </w:p>
    <w:p>
      <w:r>
        <w:t xml:space="preserve">3.3.2 На каждом порту должны контролироваться LOS, LOF, Yellow Alarm, битовые ошибки и DDM. Должны поддерживаться Optical Loopback, Payload Loopback и Ethernet Packet Loopback, а также генератор/анализатор PRBS 2^15−1 и 2^23−1.</w:t>
      </w:r>
    </w:p>
    <w:p>
      <w:r>
        <w:t xml:space="preserve">3.3.3 Мощность субплаты — ≤12 Вт; сборки с базовой платой — ≤35 Вт.</w:t>
      </w:r>
    </w:p>
    <w:p>
      <w:r>
        <w:t xml:space="preserve">3.3.4 Конструкция: Single Full-size AMC.0; габариты 73,5 × 180,6 × 28,95 мм; межплатное крепление на 4–6 металлических стойках М2,5.</w:t>
      </w:r>
    </w:p>
    <w:p>
      <w:r>
        <w:t xml:space="preserve">3.3.5 Стойкость: ГОСТ РВ 20.39.304-98, группы 1.1, 1.3, 1.4.1, исполнение «О»; рабочая температура −10…+50 °C, предельная −40…+65 °C, синусоидальная вибрация 5g, удары 15g. Радиопомехи — группа 1.1.1 ГОСТ В 25803-91.</w:t>
      </w:r>
    </w:p>
    <w:p>
      <w:r>
        <w:t xml:space="preserve">3.3.6 MTBF — не менее 15 000 ч; назначенный срок службы — не менее 20 лет.</w:t>
      </w:r>
    </w:p>
    <w:p>
      <w:r>
        <w:t xml:space="preserve">Проверка: испытаниями и измерениями подтвердить режимы тактирования, 2048 кГц в RX_CLK, джиттер/вандер по G.823, диагностику, петли и PRBS; измерить мощность, габариты и крепление; провести проверки стойкости по указанным группам, температурам, вибрации, ударам и радиопомехам; расчётом/испытанием подтвердить MTBF и срок службы по ПМИ [уточнить].</w:t>
      </w:r>
    </w:p>
    <w:p>
      <w:pPr>
        <w:pStyle w:val="Heading 1"/>
      </w:pPr>
      <w:r>
        <w:t xml:space="preserve">4 Технико-экономические требования</w:t>
      </w:r>
    </w:p>
    <w:p>
      <w:r>
        <w:t xml:space="preserve">Требования не предъявляются.</w:t>
      </w:r>
    </w:p>
    <w:p>
      <w:r>
        <w:t xml:space="preserve">Проверка: инспекцией подтвердить отсутствие заданных технико-экономических показателей.</w:t>
      </w:r>
    </w:p>
    <w:p>
      <w:pPr>
        <w:pStyle w:val="Heading 1"/>
      </w:pPr>
      <w:r>
        <w:t xml:space="preserve">5 Требования к видам обеспечения</w:t>
      </w:r>
    </w:p>
    <w:p>
      <w:pPr>
        <w:pStyle w:val="Heading 2"/>
      </w:pPr>
      <w:r>
        <w:t xml:space="preserve">5.1 Нормативное обеспечение</w:t>
      </w:r>
    </w:p>
    <w:p>
      <w:r>
        <w:t xml:space="preserve">Разработка, РКД, программная документация, изготовление, испытания и эксплуатация должны учитывать документы, перечисленные в настоящем ТЗ и в перечне применимых документов.</w:t>
      </w:r>
    </w:p>
    <w:p>
      <w:pPr>
        <w:pStyle w:val="Heading 2"/>
      </w:pPr>
      <w:r>
        <w:t xml:space="preserve">5.2 Метрологическое обеспечение</w:t>
      </w:r>
    </w:p>
    <w:p>
      <w:r>
        <w:t xml:space="preserve">Предусмотреть средства и методики измерения оптической мощности, джиттера по ITU-T G.823, сквозной задержки и асимметрии. Незаданные допуски, погрешности и состав средств измерений не дополнять — [уточнить].</w:t>
      </w:r>
    </w:p>
    <w:p>
      <w:pPr>
        <w:pStyle w:val="Heading 2"/>
      </w:pPr>
      <w:r>
        <w:t xml:space="preserve">5.3 Диагностическое обеспечение</w:t>
      </w:r>
    </w:p>
    <w:p>
      <w:r>
        <w:t xml:space="preserve">Обеспечить регистрацию DDM, LOS/LOF/Yellow Alarm и статистики задержки, формирование сообщений и отчётов для РМО.</w:t>
      </w:r>
    </w:p>
    <w:p>
      <w:pPr>
        <w:pStyle w:val="Heading 2"/>
      </w:pPr>
      <w:r>
        <w:t xml:space="preserve">5.4 Программное обеспечение</w:t>
      </w:r>
    </w:p>
    <w:p>
      <w:r>
        <w:t xml:space="preserve">Разработать bitstream функционального модуля для Flash базовой платы, драйверы Linux и MIB для РМО.</w:t>
      </w:r>
    </w:p>
    <w:p>
      <w:r>
        <w:t xml:space="preserve">Проверка: инспекцией проверить состав нормативного и программного обеспечения; измерениями подтвердить доступность параметров диагностики и статистики; демонстрацией РМО проверить сообщения и отчёты. Допуски измерений и реквизиты ПМИ [уточнить].</w:t>
      </w:r>
    </w:p>
    <w:p>
      <w:pPr>
        <w:pStyle w:val="Heading 1"/>
      </w:pPr>
      <w:r>
        <w:t xml:space="preserve">6 Требования к сырью, материалам и комплектующим изделиям</w:t>
      </w:r>
    </w:p>
    <w:p>
      <w:r>
        <w:t xml:space="preserve">Предусмотреть приоритет отечественных материалов и комплектующих с приёмкой ОТК. При отсутствии аналогов разрешить импортную ЭКБ промышленного температурного диапазона.</w:t>
      </w:r>
    </w:p>
    <w:p>
      <w:r>
        <w:t xml:space="preserve">Проверка: инспекцией по ведомости покупных изделий и документам приёмки ОТК подтвердить применённые материалы и комплектующие; случаи применения импортной ЭКБ обосновать отсутствием аналогов.</w:t>
      </w:r>
    </w:p>
    <w:p>
      <w:pPr>
        <w:pStyle w:val="Heading 1"/>
      </w:pPr>
      <w:r>
        <w:t xml:space="preserve">7 Требования к консервации, упаковке и маркировке</w:t>
      </w:r>
    </w:p>
    <w:p>
      <w:r>
        <w:t xml:space="preserve">7.1 Предусмотреть децимальный и серийный номера, ревизию и маркировку C37-1…C37-4.</w:t>
      </w:r>
    </w:p>
    <w:p>
      <w:r>
        <w:t xml:space="preserve">7.2 Оптические разъёмы защитить колпачками.</w:t>
      </w:r>
    </w:p>
    <w:p>
      <w:r>
        <w:t xml:space="preserve">7.3 Хранение в заводской таре — не менее 1 года по ГОСТ 15150. Незаданные условия консервации не дополнять.</w:t>
      </w:r>
    </w:p>
    <w:p>
      <w:r>
        <w:t xml:space="preserve">Проверка: инспекцией проверить маркировку, номера, ревизию и защитные колпачки; анализом документов подтвердить хранение в заводской таре не менее 1 года по ГОСТ 15150. Состав и параметры консервации [уточнить].</w:t>
      </w:r>
    </w:p>
    <w:p>
      <w:pPr>
        <w:pStyle w:val="Heading 1"/>
      </w:pPr>
      <w:r>
        <w:t xml:space="preserve">8 Специальные требования</w:t>
      </w:r>
    </w:p>
    <w:p>
      <w:r>
        <w:t xml:space="preserve">8.1 Телеметрия РМО (C++/Qt) должна включать мнемосхему четырёх портов, N, DDM в дБм, LOS/LOF/Yellow Alarm, задержку, асимметрию и статус P2.</w:t>
      </w:r>
    </w:p>
    <w:p>
      <w:r>
        <w:t xml:space="preserve">8.2 Команды РМО должны обеспечивать настройку N, режима тактирования и P2, управление петлями и запуск PRBS.</w:t>
      </w:r>
    </w:p>
    <w:p>
      <w:r>
        <w:t xml:space="preserve">8.3 Проверка: демонстрацией РМО подтвердить отображение всех параметров 8.1; демонстрацией команд подтвердить изменение N, режима тактирования и P2, управление каждой петлёй и запуск PRBS. Состав команд, права доступа, формат сообщений и отчётов [уточнить].</w:t>
      </w:r>
    </w:p>
    <w:p>
      <w:r>
        <w:br w:type="page"/>
      </w:r>
    </w:p>
    <w:p>
      <w:pPr>
        <w:pStyle w:val="Heading 1"/>
      </w:pPr>
      <w:r>
        <w:t xml:space="preserve">ПОСЛЕДНИЙ ЛИСТ ТЗ НА СЧ ОКР</w:t>
      </w:r>
    </w:p>
    <w:p>
      <w:r>
        <w:t xml:space="preserve">Разработчик ТЗ: [организация-исполнитель]</w:t>
      </w:r>
    </w:p>
    <w:p>
      <w:r>
        <w:t xml:space="preserve">Подпись, инициалы, фамилия: ____________________________
«___» ____________ 20__ г.</w:t>
      </w:r>
    </w:p>
    <w:p>
      <w:r>
        <w:t xml:space="preserve">СОГЛАСОВАНО</w:t>
      </w:r>
    </w:p>
    <w:p>
      <w:r>
        <w:t xml:space="preserve">Заказчик (либо НИО заказчика): [уточнить]
Подпись, инициалы, фамилия: ____________________________
«___» ____________ 20__ г.</w:t>
      </w:r>
    </w:p>
    <w:p>
      <w:r>
        <w:t xml:space="preserve">СОГЛАСОВАНО</w:t>
      </w:r>
    </w:p>
    <w:p>
      <w:r>
        <w:t xml:space="preserve">Исполнитель составной части ОКР: [организация-исполнитель]
Подпись, инициалы, фамилия: ____________________________
«___» ____________ 20__ г.</w:t>
      </w:r>
    </w:p>
    <w:p>
      <w:r>
        <w:t xml:space="preserve">СОГЛАСОВАНО</w:t>
      </w:r>
    </w:p>
    <w:p>
      <w:r>
        <w:t xml:space="preserve">Другие согласующие организации (при наличии): [при наличии — уточнить]
Подпись, инициалы, фамилия: ____________________________
«___» ____________ 20__ г.</w:t>
      </w:r>
    </w:p>
    <w:sectPr>
      <w:pgSz w:w="11906" w:h="16838"/>
      <w:pgMar w:top="1134" w:right="850" w:bottom="1134" w:left="1417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2"/>
      </w:rPr>
    </w:r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Office Open XML</Application>
</Properties>
</file>

<file path=docProps/core.xml><?xml version="1.0" encoding="utf-8"?>
<cp:coreProperties xmlns:cp="http://schemas.openxmlformats.org/package/2006/metadata/core-properties" xmlns:dc="http://purl.org/dc/elements/1.1/">
  <dc:title>Техническое задание</dc:title>
  <dc:language>ru</dc:language>
</cp:coreProperties>
</file>