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Layout w:type="autofit"/>
      </w:tblP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СОГЛАСОВАНОДолжность, заказчик (НИО заказчика)[уточнить]Подпись ____________ Инициалы, фамилия [уточнить]«___» __________ 20__ г.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УТВЕРЖДАЮДолжность, головной исполнитель ОКР[уточнить]Подпись ____________ Инициалы, фамилия [уточнить]«___» __________ 20__ г.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СОГЛАСОВАНОДолжность, исполнитель составной части ОКР[уточнить]Подпись ____________ Инициалы, фамилия [уточнить]«___» __________ 20__ г.</w:t>
            </w:r>
          </w:p>
        </w:tc>
        <w:tc>
          <w:tcPr>
            <w:tcW w:w="0" w:type="auto"/>
          </w:tcPr>
          <w:p>
            <w:pPr>
              <w:spacing w:after="60"/>
            </w:pPr>
          </w:p>
        </w:tc>
      </w:tr>
    </w:tbl>
    <w:p>
      <w:pPr>
        <w:pStyle w:val="Heading1"/>
        <w:jc w:val="center"/>
      </w:pPr>
      <w:r>
        <w:rPr>
          <w:b/>
        </w:rPr>
        <w:t xml:space="preserve">ТЕХНИЧЕСКОЕ ЗАДАНИЕ</w:t>
      </w:r>
      <w:r>
        <w:br/>
      </w:r>
      <w:r>
        <w:rPr>
          <w:b/>
        </w:rPr>
        <w:t xml:space="preserve">НА СОСТАВНУЮ ЧАСТЬ ОПЫТНО-КОНСТРУКТОРСКОЙ РАБОТЫ</w:t>
      </w:r>
    </w:p>
    <w:p>
      <w:pPr>
        <w:jc w:val="center"/>
        <w:spacing w:after="120" w:line="300" w:lineRule="auto"/>
      </w:pPr>
      <w:r>
        <w:rPr/>
        <w:t xml:space="preserve">Разработка сменной интерфейсной субплаты 4×IEEE C37.94</w:t>
      </w:r>
      <w:r>
        <w:br/>
      </w:r>
      <w:r>
        <w:rPr/>
        <w:t xml:space="preserve">и функционального модуля релейной защиты для универсального базового модуля AMC семейства ДММП</w:t>
      </w:r>
    </w:p>
    <w:p>
      <w:pPr>
        <w:jc w:val="center"/>
        <w:spacing w:after="120" w:line="300" w:lineRule="auto"/>
      </w:pPr>
      <w:r>
        <w:rPr>
          <w:b/>
        </w:rPr>
        <w:t xml:space="preserve">Шифр ОКР «Развитие-ТСА»</w:t>
      </w:r>
    </w:p>
    <w:p>
      <w:pPr>
        <w:jc w:val="center"/>
        <w:spacing w:after="120" w:line="300" w:lineRule="auto"/>
      </w:pPr>
      <w:r>
        <w:rPr/>
        <w:t xml:space="preserve">Обозначение составной части изделия: [уточнить]</w:t>
      </w:r>
    </w:p>
    <w:p>
      <w:pPr>
        <w:pStyle w:val="Heading1"/>
        <w:jc w:val="center"/>
        <w:pageBreakBefore/>
      </w:pPr>
      <w:r>
        <w:rPr>
          <w:b/>
        </w:rPr>
        <w:t xml:space="preserve">ЛИСТ СОГЛАСОВАНИЯ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Организация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Подпись, инициалы, фамилия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Заказчик (НИО заказчика) 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____________ 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Головной исполнитель ОКР 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____________ 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Исполнитель составной части ОКР: [организация-исполнитель]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____________ [уточнить]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[уточнить]</w:t>
            </w:r>
          </w:p>
        </w:tc>
      </w:tr>
    </w:tbl>
    <w:p>
      <w:pPr>
        <w:pStyle w:val="Heading2"/>
      </w:pPr>
      <w:r>
        <w:rPr>
          <w:b/>
        </w:rPr>
        <w:t xml:space="preserve">Перечень обозначений и сокращений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Обозначение (термин)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Расшифровка / значение в настоящем ТЗ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AMC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Универсальный базовый модуль AMC семейства ДММП; полная расшифровка AMC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B2B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Связь субплаты с базовой платой;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Board ID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Идентификатор платы в EEPROM; для субплаты — 0x05.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CDR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Функция трансивера 850/1310 нм;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DDM/DOM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Диагностический мониторинг трансивера, опрашиваемый по I2C; полные расшифровки в исходных материалах отсутствуют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EEPROM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Память, содержащая Board ID;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Fabric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Тракт Fabric 10GbE; определение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I2C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Интерфейс опроса DDM/DOM согласно SFF-8472;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LC/SFP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Альтернативные исполнения четырёх экранированных корзин SFP / дуплексных LC; полные расшифровки в исходных материалах отсутствуют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LOF, LOS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Аварийные состояния потери кадра и потери сигнала соответственно; полные англоязычные расшифровки в исходных материалах отсутствуют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MMC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Интерфейс/средство, предоставляемое базовой платой;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MTBF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Показатель надёжности; значение — не менее 15 000 ч.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N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Количество каналов по 64 кбит/с на одном порту; N = 1…12.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ОКР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ПЛИС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ПМИ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PRBS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Генератор/анализатор последовательностей 215−1 и 223−1;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PTPv2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Режим тактирования;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QoS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Strict Priority QoS по IEEE 802.1p/Q;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РЗА/ДЗЛ и ДФЗ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Терминалы, для которых предназначены оптические каналы; полные расшифровки в исходных материалах отсутствуют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РКД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РМО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Рабочее место оператора.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PDV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Вариация задержки пакетов, компенсируемая независимым джиттер-буфером; полная расшифровка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Yellow Alarm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Обозначение аварии при единичном пропуске или LOS/LOF; полное определение в исходных материалах отсутствует [уточнить].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ДММП, ОТК, ЭКБ, TX/RX, MM/SM, TCLK, SoC FPGA, MIB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Обозначения использованы в исходных требованиях. Их полные расшифровки в исходных материалах отсутствуют [уточнить].</w:t>
            </w:r>
          </w:p>
        </w:tc>
      </w:tr>
    </w:tbl>
    <w:p>
      <w:pPr>
        <w:pStyle w:val="Heading2"/>
        <w:pageBreakBefore/>
      </w:pPr>
      <w:r>
        <w:rPr>
          <w:b/>
        </w:rPr>
        <w:t xml:space="preserve">Перечень применимых нормативных и справочных документов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Документ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b/>
              </w:rPr>
              <w:t xml:space="preserve">Наименование / область применения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ГОСТ 15.016—2016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Система разработки и постановки продукции на производство. Техническое задание. Требования к содержанию и оформлению. Применяется в части 6.1, 6.2 и 7.1.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IEEE C37.94-2017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оптических интерфейсов; обеспечить совместимость с IEEE C37.94-2002.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ITU-T G.823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джиттера/вандера.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SFF-8472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опроса DDM/DOM по I2C.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IEEE 802.1p/Q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Strict Priority QoS.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PICMG AMC.0 R2.0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конструкции AMC.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ГОСТ РВ 20.39.304-98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стойкости; группы 1.1, 1.3, 1.4.1, исполнение «О».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ГОСТ В 25803-91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радиопомех; группа 1.1.1.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ГОСТ 2.114-2016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нормативный документ.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ГОСТ РВ 15.201-2003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нормативный документ.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/>
              <w:t xml:space="preserve">ГОСТ 15150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/>
              <w:t xml:space="preserve">Применимый документ для хранения в заводской таре.</w:t>
            </w:r>
          </w:p>
        </w:tc>
      </w:tr>
    </w:tbl>
    <w:p>
      <w:pPr>
        <w:pStyle w:val="Heading1"/>
        <w:jc w:val="center"/>
      </w:pPr>
      <w:r>
        <w:rPr>
          <w:b/>
        </w:rPr>
        <w:t xml:space="preserve">1. Наименование, шифр, основание, исполнители и сроки ОКР</w:t>
      </w:r>
    </w:p>
    <w:p>
      <w:pPr>
        <w:jc w:val="both"/>
        <w:spacing w:after="120" w:line="300" w:lineRule="auto"/>
      </w:pPr>
      <w:r>
        <w:rPr>
          <w:b/>
        </w:rPr>
        <w:t xml:space="preserve">1.1</w:t>
      </w:r>
      <w:r>
        <w:rPr/>
        <w:t xml:space="preserve">Наименование составной части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jc w:val="both"/>
        <w:spacing w:after="120" w:line="300" w:lineRule="auto"/>
      </w:pPr>
      <w:r>
        <w:rPr>
          <w:b/>
        </w:rPr>
        <w:t xml:space="preserve">1.2</w:t>
      </w:r>
      <w:r>
        <w:rPr/>
        <w:t xml:space="preserve">Шифр ОКР — «Развитие-ТСА». Для составной части ОКР применяется шифр ОКР «Развитие-ТСА»; дополнительный шифр не установлен.</w:t>
      </w:r>
    </w:p>
    <w:p>
      <w:pPr>
        <w:jc w:val="both"/>
        <w:spacing w:after="120" w:line="300" w:lineRule="auto"/>
      </w:pPr>
      <w:r>
        <w:rPr>
          <w:b/>
        </w:rPr>
        <w:t xml:space="preserve">1.3</w:t>
      </w:r>
      <w:r>
        <w:rPr/>
        <w:t xml:space="preserve">Основание: приказ об открытии инициативной ОКР №</w:t>
      </w:r>
      <w:r>
        <w:rPr>
          <w:b/>
        </w:rPr>
        <w:t xml:space="preserve">[уточнить]</w:t>
      </w:r>
      <w:r>
        <w:rPr/>
        <w:t xml:space="preserve">от</w:t>
      </w:r>
      <w:r>
        <w:rPr>
          <w:b/>
        </w:rPr>
        <w:t xml:space="preserve">[уточнить]</w:t>
      </w:r>
      <w:r>
        <w:rPr/>
        <w:t xml:space="preserve">.</w:t>
      </w:r>
    </w:p>
    <w:p>
      <w:pPr>
        <w:jc w:val="both"/>
        <w:spacing w:after="120" w:line="300" w:lineRule="auto"/>
      </w:pPr>
      <w:r>
        <w:rPr>
          <w:b/>
        </w:rPr>
        <w:t xml:space="preserve">1.4</w:t>
      </w:r>
      <w:r>
        <w:rPr/>
        <w:t xml:space="preserve">Исполнитель составной части ОКР —</w:t>
      </w:r>
      <w:r>
        <w:rPr>
          <w:b/>
        </w:rPr>
        <w:t xml:space="preserve">[организация-исполнитель]</w:t>
      </w:r>
      <w:r>
        <w:rPr/>
        <w:t xml:space="preserve">. Головной исполнитель ОКР и заказчик (НИО заказчика) —</w:t>
      </w:r>
      <w:r>
        <w:rPr>
          <w:b/>
        </w:rPr>
        <w:t xml:space="preserve">[уточнить]</w:t>
      </w:r>
      <w:r>
        <w:rPr/>
        <w:t xml:space="preserve">.</w:t>
      </w:r>
    </w:p>
    <w:p>
      <w:pPr>
        <w:jc w:val="both"/>
        <w:spacing w:after="120" w:line="300" w:lineRule="auto"/>
      </w:pPr>
      <w:r>
        <w:rPr>
          <w:b/>
        </w:rPr>
        <w:t xml:space="preserve">1.5</w:t>
      </w:r>
      <w:r>
        <w:rPr/>
        <w:t xml:space="preserve">Сроки выполнения должны быть увязаны с утверждённым планом-графиком разработки РКД и программной документации, изготовления образцов и испытаний. Календарные сроки и этап, на котором уточняются незаданные требования, —</w:t>
      </w:r>
      <w:r>
        <w:rPr>
          <w:b/>
        </w:rPr>
        <w:t xml:space="preserve">[уточнить]</w:t>
      </w:r>
      <w:r>
        <w:rPr/>
        <w:t xml:space="preserve">.</w:t>
      </w:r>
    </w:p>
    <w:p>
      <w:pPr>
        <w:pStyle w:val="Heading1"/>
        <w:jc w:val="center"/>
      </w:pPr>
      <w:r>
        <w:rPr>
          <w:b/>
        </w:rPr>
        <w:t xml:space="preserve">2. Цель выполнения, наименование, назначение и область применения изделия</w:t>
      </w:r>
    </w:p>
    <w:p>
      <w:pPr>
        <w:jc w:val="both"/>
        <w:spacing w:after="120" w:line="300" w:lineRule="auto"/>
      </w:pPr>
      <w:r>
        <w:rPr>
          <w:b/>
        </w:rPr>
        <w:t xml:space="preserve">2.1</w:t>
      </w:r>
      <w:r>
        <w:rPr/>
        <w:t xml:space="preserve">Цель — разработка субплаты и функционального модуля, обеспечивающих для терминалов РЗА/ДЗЛ и ДФЗ, противоаварийной автоматики и регистраторов аварийных событий подстанций ДММП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jc w:val="both"/>
        <w:spacing w:after="120" w:line="300" w:lineRule="auto"/>
      </w:pPr>
      <w:r>
        <w:rPr>
          <w:b/>
        </w:rPr>
        <w:t xml:space="preserve">2.2</w:t>
      </w:r>
      <w:r>
        <w:rPr/>
        <w:t xml:space="preserve">Аппаратная часть включает субплату, интерфейсы, защитные цепи, трансиверы и EEPROM. Логическая часть — функциональный модуль ПЛИС базовой платы, автоматически активируемый по Board ID. AMC устанавливается на Carrier платформы ДММП.</w:t>
      </w:r>
    </w:p>
    <w:p>
      <w:pPr>
        <w:pStyle w:val="Heading1"/>
        <w:jc w:val="center"/>
        <w:pageBreakBefore/>
      </w:pPr>
      <w:r>
        <w:rPr>
          <w:b/>
        </w:rPr>
        <w:t xml:space="preserve">3. Технические требования к изделию</w:t>
      </w:r>
    </w:p>
    <w:p>
      <w:pPr>
        <w:pStyle w:val="Heading2"/>
      </w:pPr>
      <w:r>
        <w:rPr>
          <w:b/>
        </w:rPr>
        <w:t xml:space="preserve">3.1 Архитектура и оптические интерфейсы</w:t>
      </w:r>
    </w:p>
    <w:p>
      <w:pPr>
        <w:jc w:val="both"/>
        <w:spacing w:after="120" w:line="300" w:lineRule="auto"/>
      </w:pPr>
      <w:r>
        <w:rPr>
          <w:b/>
        </w:rPr>
        <w:t xml:space="preserve">3.1.1</w:t>
      </w:r>
      <w:r>
        <w:rPr/>
        <w:t xml:space="preserve">Субплата должна содержать четыре независимых оптических порта LC/SFP, трансиверы 850/1310 нм с CDR, защитные цепи, DDM/DOM, EEPROM Board ID</w:t>
      </w:r>
      <w:r>
        <w:rPr/>
        <w:t xml:space="preserve">0x05</w:t>
      </w:r>
      <w:r>
        <w:rPr/>
        <w:t xml:space="preserve">и индикацию. Связь с базовой платой должна осуществляться по B2B. Базовая плата предоставляет +12 В/+3,3 В, MMC, тактирование и автоматическую загрузку bitstream из Flash по Board ID.</w:t>
      </w:r>
    </w:p>
    <w:p>
      <w:pPr>
        <w:jc w:val="both"/>
        <w:spacing w:after="120" w:line="300" w:lineRule="auto"/>
      </w:pPr>
      <w:r>
        <w:rPr>
          <w:b/>
        </w:rPr>
        <w:t xml:space="preserve">3.1.2</w:t>
      </w:r>
      <w:r>
        <w:rPr/>
        <w:t xml:space="preserve">На субплате должны быть четыре экранированные корзины SFP / дуплексные LC с отдельными волокнами TX/RX. Для оптики 850 нм должны поддерживаться MM 50/125 или 62,5/125 мкм на расстоянии до 2 км; для 1310 нм — SM 9/125 мкм на расстоянии 20–40 км. Альтернативы LC/SFP сохраняются; окончательное исполнение —</w:t>
      </w:r>
      <w:r>
        <w:rPr>
          <w:b/>
        </w:rPr>
        <w:t xml:space="preserve">[уточнить]</w:t>
      </w:r>
      <w:r>
        <w:rPr/>
        <w:t xml:space="preserve">.</w:t>
      </w:r>
    </w:p>
    <w:p>
      <w:pPr>
        <w:jc w:val="both"/>
        <w:spacing w:after="120" w:line="300" w:lineRule="auto"/>
      </w:pPr>
      <w:r>
        <w:rPr>
          <w:b/>
        </w:rPr>
        <w:t xml:space="preserve">3.1.3</w:t>
      </w:r>
      <w:r>
        <w:rPr/>
        <w:t xml:space="preserve">Должны быть предусмотрены линии</w:t>
      </w:r>
      <w:r>
        <w:rPr/>
        <w:t xml:space="preserve">TX_DISABLE</w:t>
      </w:r>
      <w:r>
        <w:rPr/>
        <w:t xml:space="preserve">,</w:t>
      </w:r>
      <w:r>
        <w:rPr/>
        <w:t xml:space="preserve">TX_FAULT</w:t>
      </w:r>
      <w:r>
        <w:rPr/>
        <w:t xml:space="preserve">,</w:t>
      </w:r>
      <w:r>
        <w:rPr/>
        <w:t xml:space="preserve">RX_LOS</w:t>
      </w:r>
      <w:r>
        <w:rPr/>
        <w:t xml:space="preserve">, опрос DDM/DOM по I2C согласно SFF-8472, контроль мощности TX/RX, температуры и тока лазера с передачей телеметрии в РМО.</w:t>
      </w:r>
    </w:p>
    <w:p>
      <w:pPr>
        <w:jc w:val="both"/>
        <w:spacing w:after="120" w:line="300" w:lineRule="auto"/>
      </w:pPr>
      <w:r>
        <w:rPr>
          <w:b/>
        </w:rPr>
        <w:t xml:space="preserve">3.1.4</w:t>
      </w:r>
      <w:r>
        <w:rPr/>
        <w:t xml:space="preserve">Каждый порт должен независимо поддерживать N = 1…12 каналов по 64 кбит/с, полезную скорость 64–768 кбит/с и кадровый поток 2048 кбит/с. Должно быть обеспечено соответствие IEEE C37.94-2017 и совместимость с IEEE C37.94-2002 без изменения или инверсии пользовательских битов.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3.1.</w:t>
      </w:r>
      <w:r>
        <w:rPr>
          <w:i/>
        </w:rPr>
        <w:t xml:space="preserve">Осмотром и функциональной проверкой подтвердить число портов, B2B, Board ID, линии и DDM/DOM; испытанием по каждому порту подтвердить N = 1…12, указанные скорости и отсутствие изменения или инверсии пользовательских битов. Для оптики подтвердить тип волокна и предельные расстояния из п. 3.1.2. Методика и средства испытаний — ПМИ [уточнить].</w:t>
      </w:r>
    </w:p>
    <w:p>
      <w:pPr>
        <w:pStyle w:val="Heading2"/>
      </w:pPr>
      <w:r>
        <w:rPr>
          <w:b/>
        </w:rPr>
        <w:t xml:space="preserve">3.2 Пакетная передача, резервирование и безопасные состояния</w:t>
      </w:r>
    </w:p>
    <w:p>
      <w:pPr>
        <w:jc w:val="both"/>
        <w:spacing w:after="120" w:line="300" w:lineRule="auto"/>
      </w:pPr>
      <w:r>
        <w:rPr>
          <w:b/>
        </w:rPr>
        <w:t xml:space="preserve">3.2.1</w:t>
      </w:r>
      <w:r>
        <w:rPr/>
        <w:t xml:space="preserve">C37.94-over-Packet должен использовать Ethernet L2, фиксированный период пакетизации, Fabric 10GbE и Strict Priority QoS по IEEE 802.1p/Q. Применение L3/UDP/IP допускается при необходимости с процессорным ядром SoC FPGA либо статической аппаратной подстановкой заголовка.</w:t>
      </w:r>
    </w:p>
    <w:p>
      <w:pPr>
        <w:jc w:val="both"/>
        <w:spacing w:after="120" w:line="300" w:lineRule="auto"/>
      </w:pPr>
      <w:r>
        <w:rPr>
          <w:b/>
        </w:rPr>
        <w:t xml:space="preserve">3.2.2</w:t>
      </w:r>
      <w:r>
        <w:rPr/>
        <w:t xml:space="preserve">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jc w:val="both"/>
        <w:spacing w:after="120" w:line="300" w:lineRule="auto"/>
      </w:pPr>
      <w:r>
        <w:rPr>
          <w:b/>
        </w:rPr>
        <w:t xml:space="preserve">3.2.3</w:t>
      </w:r>
      <w:r>
        <w:rPr/>
        <w:t xml:space="preserve">Ретрансляция потерянных пакетов запрещена.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Число потерь и абсолютная задержка —</w:t>
      </w:r>
      <w:r>
        <w:rPr>
          <w:b/>
        </w:rPr>
        <w:t xml:space="preserve">[уточнить]</w:t>
      </w:r>
      <w:r>
        <w:rPr/>
        <w:t xml:space="preserve">.</w:t>
      </w:r>
    </w:p>
    <w:p>
      <w:pPr>
        <w:jc w:val="both"/>
        <w:spacing w:after="120" w:line="300" w:lineRule="auto"/>
      </w:pPr>
      <w:r>
        <w:rPr>
          <w:b/>
        </w:rPr>
        <w:t xml:space="preserve">3.2.4</w:t>
      </w:r>
      <w:r>
        <w:rPr/>
        <w:t xml:space="preserve">P2 (Hitless 1+1) должен передавать две идентичные копии по независимым трактам, выполнять поштучную дедупликацию и не допускать потери битов при отказе одного пути. При LOS/LOF либо потере сетевого тракта должен формироваться Yellow Alarm или выполняться немедленный Laser Off. Не допускаются недостоверные, случайные и повторно воспроизведённые устаревшие данные РЗА. Условия выбора безопасного состояния при сохранении второго пути —</w:t>
      </w:r>
      <w:r>
        <w:rPr>
          <w:b/>
        </w:rPr>
        <w:t xml:space="preserve">[уточнить]</w:t>
      </w:r>
      <w:r>
        <w:rPr/>
        <w:t xml:space="preserve">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3.2.</w:t>
      </w:r>
      <w:r>
        <w:rPr>
          <w:i/>
        </w:rPr>
        <w:t xml:space="preserve">Испытанием проверить Ethernet L2, фиксированный период пакетизации, Fabric 10GbE и Strict Priority QoS; измерением подтвердить асимметрию не более ±10 мкс при температуре и сетевой нагрузке в заданных диапазонах. Ввести PDV, единичный пропуск, последовательные потери, LOS, LOF, потерю каждого независимого тракта и отказ одного пути P2; наблюдать отсутствие выпадения кадров при PDV, Yellow Alarm / LOF, Laser Off в заданном условии, отсутствие потери битов при отказе одного пути и отсутствие недостоверных, случайных либо устаревших данных РЗА. Число потерь, абсолютная задержка, порог и выбор безопасного состояния — блокирующие параметры ПМИ [уточнить].</w:t>
      </w:r>
    </w:p>
    <w:p>
      <w:pPr>
        <w:pStyle w:val="Heading2"/>
        <w:pageBreakBefore/>
      </w:pPr>
      <w:r>
        <w:rPr>
          <w:b/>
        </w:rPr>
        <w:t xml:space="preserve">3.3 Тактирование, диагностика и конструкция</w:t>
      </w:r>
    </w:p>
    <w:p>
      <w:pPr>
        <w:jc w:val="both"/>
        <w:spacing w:after="120" w:line="300" w:lineRule="auto"/>
      </w:pPr>
      <w:r>
        <w:rPr>
          <w:b/>
        </w:rPr>
        <w:t xml:space="preserve">3.3.1</w:t>
      </w:r>
      <w:r>
        <w:rPr/>
        <w:t xml:space="preserve">Каждый порт должен поддерживать режимы Loop timing от входного сигнала, TCLK 19,44 МГц, PTPv2 и локальный Holdover. Восстановленный сигнал 2048 кГц выбранного порта должен выдаваться в</w:t>
      </w:r>
      <w:r>
        <w:rPr/>
        <w:t xml:space="preserve">RX_CLK</w:t>
      </w:r>
      <w:r>
        <w:rPr/>
        <w:t xml:space="preserve">. Джиттер/вандер должны соответствовать ITU-T G.823.</w:t>
      </w:r>
    </w:p>
    <w:p>
      <w:pPr>
        <w:jc w:val="both"/>
        <w:spacing w:after="120" w:line="300" w:lineRule="auto"/>
      </w:pPr>
      <w:r>
        <w:rPr>
          <w:b/>
        </w:rPr>
        <w:t xml:space="preserve">3.3.2</w:t>
      </w:r>
      <w:r>
        <w:rPr/>
        <w:t xml:space="preserve">Должны контролироваться LOS, LOF, Yellow Alarm, битовые ошибки и DDM. На каждом порту должны быть Optical Loopback, Payload Loopback, Ethernet Packet Loopback, генератор/анализатор PRBS 2</w:t>
      </w:r>
      <w:r>
        <w:rPr>
          <w:vertAlign w:val="superscript"/>
        </w:rPr>
        <w:t xml:space="preserve">15</w:t>
      </w:r>
      <w:r>
        <w:rPr/>
        <w:t xml:space="preserve">−1 и 2</w:t>
      </w:r>
      <w:r>
        <w:rPr>
          <w:vertAlign w:val="superscript"/>
        </w:rPr>
        <w:t xml:space="preserve">23</w:t>
      </w:r>
      <w:r>
        <w:rPr/>
        <w:t xml:space="preserve">−1.</w:t>
      </w:r>
    </w:p>
    <w:p>
      <w:pPr>
        <w:jc w:val="both"/>
        <w:spacing w:after="120" w:line="300" w:lineRule="auto"/>
      </w:pPr>
      <w:r>
        <w:rPr>
          <w:b/>
        </w:rPr>
        <w:t xml:space="preserve">3.3.3</w:t>
      </w:r>
      <w:r>
        <w:rPr/>
        <w:t xml:space="preserve">Мощность субплаты должна быть не более 12 Вт; мощность сборки с базовой платой — не более 35 Вт.</w:t>
      </w:r>
    </w:p>
    <w:p>
      <w:pPr>
        <w:jc w:val="both"/>
        <w:spacing w:after="120" w:line="300" w:lineRule="auto"/>
      </w:pPr>
      <w:r>
        <w:rPr>
          <w:b/>
        </w:rPr>
        <w:t xml:space="preserve">3.3.4</w:t>
      </w:r>
      <w:r>
        <w:rPr/>
        <w:t xml:space="preserve">Конструкция должна соответствовать Single Full-size AMC.0, 73,5 × 180,6 × 28,95 мм; межплатное крепление — на 4–6 металлических стойках М2,5.</w:t>
      </w:r>
    </w:p>
    <w:p>
      <w:pPr>
        <w:jc w:val="both"/>
        <w:spacing w:after="120" w:line="300" w:lineRule="auto"/>
      </w:pPr>
      <w:r>
        <w:rPr>
          <w:b/>
        </w:rPr>
        <w:t xml:space="preserve">3.3.5</w:t>
      </w:r>
      <w:r>
        <w:rPr/>
        <w:t xml:space="preserve">Стойкость должна соответствовать ГОСТ РВ 20.39.304-98, группам 1.1, 1.3, 1.4.1, исполнению «О»; рабочая температура — −10…+50 °C, предельная — −40…+65 °C, синусоидальная вибрация — 5g, удары — 15g. Радиопомехи — группа 1.1.1 ГОСТ В 25803-91.</w:t>
      </w:r>
    </w:p>
    <w:p>
      <w:pPr>
        <w:jc w:val="both"/>
        <w:spacing w:after="120" w:line="300" w:lineRule="auto"/>
      </w:pPr>
      <w:r>
        <w:rPr>
          <w:b/>
        </w:rPr>
        <w:t xml:space="preserve">3.3.6</w:t>
      </w:r>
      <w:r>
        <w:rPr/>
        <w:t xml:space="preserve">MTBF должен быть не менее 15 000 ч. Назначенный срок службы должен быть не менее 20 лет.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3.3.</w:t>
      </w:r>
      <w:r>
        <w:rPr>
          <w:i/>
        </w:rPr>
        <w:t xml:space="preserve">Функциональной проверкой подтвердить режимы тактирования, выдачу 2048 кГц в RX_CLK, средства диагностики, три петли и PRBS на каждом порту; измерением — соответствие джиттера/вандера ITU-T G.823 и мощность не более 12 Вт / 35 Вт. Осмотром и измерением подтвердить конструкцию и крепление. Испытаниями подтвердить условия п. 3.3.5; проверкой документации подтвердить MTBF и назначенный срок службы. Нормы погрешности измерений, необходимые по ГОСТ 15.016—2016 (6.1.4), — [уточнить].</w:t>
      </w:r>
    </w:p>
    <w:p>
      <w:pPr>
        <w:pStyle w:val="Heading1"/>
        <w:jc w:val="center"/>
      </w:pPr>
      <w:r>
        <w:rPr>
          <w:b/>
        </w:rPr>
        <w:t xml:space="preserve">4. Технико-экономические требования</w:t>
      </w:r>
    </w:p>
    <w:p>
      <w:pPr>
        <w:jc w:val="both"/>
        <w:spacing w:after="120" w:line="300" w:lineRule="auto"/>
      </w:pPr>
      <w:r>
        <w:rPr>
          <w:b/>
        </w:rPr>
        <w:t xml:space="preserve">4.1</w:t>
      </w:r>
      <w:r>
        <w:rPr/>
        <w:t xml:space="preserve">Технико-экономические требования не предъявляются.</w:t>
      </w:r>
    </w:p>
    <w:p>
      <w:pPr>
        <w:pStyle w:val="Heading1"/>
        <w:jc w:val="center"/>
      </w:pPr>
      <w:r>
        <w:rPr>
          <w:b/>
        </w:rPr>
        <w:t xml:space="preserve">5. Требования к видам обеспечения</w:t>
      </w:r>
    </w:p>
    <w:p>
      <w:pPr>
        <w:pStyle w:val="Heading2"/>
      </w:pPr>
      <w:r>
        <w:rPr>
          <w:b/>
        </w:rPr>
        <w:t xml:space="preserve">5.1 Нормативно-техническое обеспечение</w:t>
      </w:r>
    </w:p>
    <w:p>
      <w:pPr>
        <w:jc w:val="both"/>
        <w:spacing w:after="120" w:line="300" w:lineRule="auto"/>
      </w:pPr>
      <w:r>
        <w:rPr>
          <w:b/>
        </w:rPr>
        <w:t xml:space="preserve">5.1.1</w:t>
      </w:r>
      <w:r>
        <w:rPr/>
        <w:t xml:space="preserve">РКД, программная документация и документация по изделию должны учитывать перечень применимых нормативных и справочных документов настоящего ТЗ.</w:t>
      </w:r>
    </w:p>
    <w:p>
      <w:pPr>
        <w:pStyle w:val="Heading2"/>
      </w:pPr>
      <w:r>
        <w:rPr>
          <w:b/>
        </w:rPr>
        <w:t xml:space="preserve">5.2 Метрологическое обеспечение</w:t>
      </w:r>
    </w:p>
    <w:p>
      <w:pPr>
        <w:jc w:val="both"/>
        <w:spacing w:after="120" w:line="300" w:lineRule="auto"/>
      </w:pPr>
      <w:r>
        <w:rPr>
          <w:b/>
        </w:rPr>
        <w:t xml:space="preserve">5.2.1</w:t>
      </w:r>
      <w:r>
        <w:rPr/>
        <w:t xml:space="preserve">Должны быть предусмотрены средства и методики измерения оптической мощности, джиттера по ITU-T G.823, сквозной задержки и асимметрии. Незаданные допуски не устанавливаются.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5.2.</w:t>
      </w:r>
      <w:r>
        <w:rPr>
          <w:i/>
        </w:rPr>
        <w:t xml:space="preserve">Анализом ПМИ подтвердить наличие указанных средств и методик; количественные показатели метрологического обеспечения, включая погрешности, периодичность и аттестацию методик, — [уточнить].</w:t>
      </w:r>
    </w:p>
    <w:p>
      <w:pPr>
        <w:pStyle w:val="Heading2"/>
      </w:pPr>
      <w:r>
        <w:rPr>
          <w:b/>
        </w:rPr>
        <w:t xml:space="preserve">5.3 Диагностическое обеспечение</w:t>
      </w:r>
    </w:p>
    <w:p>
      <w:pPr>
        <w:jc w:val="both"/>
        <w:spacing w:after="120" w:line="300" w:lineRule="auto"/>
      </w:pPr>
      <w:r>
        <w:rPr>
          <w:b/>
        </w:rPr>
        <w:t xml:space="preserve">5.3.1</w:t>
      </w:r>
      <w:r>
        <w:rPr/>
        <w:t xml:space="preserve">Должны регистрироваться DDM, LOS/LOF/Yellow Alarm и статистика задержки; должны формироваться сообщения и отчёты для РМО.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5.3.</w:t>
      </w:r>
      <w:r>
        <w:rPr>
          <w:i/>
        </w:rPr>
        <w:t xml:space="preserve">Инициировать каждое контролируемое состояние и наблюдать его регистрацию, сообщения и отчёты в РМО.</w:t>
      </w:r>
    </w:p>
    <w:p>
      <w:pPr>
        <w:pStyle w:val="Heading2"/>
      </w:pPr>
      <w:r>
        <w:rPr>
          <w:b/>
        </w:rPr>
        <w:t xml:space="preserve">5.4 Программное и информационное обеспечение</w:t>
      </w:r>
    </w:p>
    <w:p>
      <w:pPr>
        <w:jc w:val="both"/>
        <w:spacing w:after="120" w:line="300" w:lineRule="auto"/>
      </w:pPr>
      <w:r>
        <w:rPr>
          <w:b/>
        </w:rPr>
        <w:t xml:space="preserve">5.4.1</w:t>
      </w:r>
      <w:r>
        <w:rPr/>
        <w:t xml:space="preserve">Должны быть разработаны bitstream функционального модуля для Flash базовой платы, драйверы Linux и MIB для РМО.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5.4.</w:t>
      </w:r>
      <w:r>
        <w:rPr>
          <w:i/>
        </w:rPr>
        <w:t xml:space="preserve">Осмотром поставки и функциональной проверкой подтвердить загрузку bitstream из Flash базовой платы по Board ID, наличие драйверов Linux и MIB для РМО.</w:t>
      </w:r>
    </w:p>
    <w:p>
      <w:pPr>
        <w:pStyle w:val="Heading1"/>
        <w:jc w:val="center"/>
        <w:pageBreakBefore/>
      </w:pPr>
      <w:r>
        <w:rPr>
          <w:b/>
        </w:rPr>
        <w:t xml:space="preserve">6. Требования к сырью, материалам и комплектующим изделиям</w:t>
      </w:r>
    </w:p>
    <w:p>
      <w:pPr>
        <w:jc w:val="both"/>
        <w:spacing w:after="120" w:line="300" w:lineRule="auto"/>
      </w:pPr>
      <w:r>
        <w:rPr>
          <w:b/>
        </w:rPr>
        <w:t xml:space="preserve">6.1</w:t>
      </w:r>
      <w:r>
        <w:rPr/>
        <w:t xml:space="preserve">При разработке и изготовлении должен быть предусмотрен приоритет отечественных материалов и комплектующих изделий с приёмкой ОТК.</w:t>
      </w:r>
    </w:p>
    <w:p>
      <w:pPr>
        <w:jc w:val="both"/>
        <w:spacing w:after="120" w:line="300" w:lineRule="auto"/>
      </w:pPr>
      <w:r>
        <w:rPr>
          <w:b/>
        </w:rPr>
        <w:t xml:space="preserve">6.2</w:t>
      </w:r>
      <w:r>
        <w:rPr/>
        <w:t xml:space="preserve">При отсутствии аналогов допускается применение импортной ЭКБ промышленного температурного диапазона.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6.</w:t>
      </w:r>
      <w:r>
        <w:rPr>
          <w:i/>
        </w:rPr>
        <w:t xml:space="preserve">Проверкой ведомости материалов и комплектующих, а также документов ОТК подтвердить выполнение пп. 6.1 и 6.2. Критерии отсутствия отечественного аналога — [уточнить].</w:t>
      </w:r>
    </w:p>
    <w:p>
      <w:pPr>
        <w:pStyle w:val="Heading1"/>
        <w:jc w:val="center"/>
      </w:pPr>
      <w:r>
        <w:rPr>
          <w:b/>
        </w:rPr>
        <w:t xml:space="preserve">7. Требования к консервации, упаковке и маркировке</w:t>
      </w:r>
    </w:p>
    <w:p>
      <w:pPr>
        <w:jc w:val="both"/>
        <w:spacing w:after="120" w:line="300" w:lineRule="auto"/>
      </w:pPr>
      <w:r>
        <w:rPr>
          <w:b/>
        </w:rPr>
        <w:t xml:space="preserve">7.1</w:t>
      </w:r>
      <w:r>
        <w:rPr/>
        <w:t xml:space="preserve">На изделии должны быть предусмотрены децимальный и серийный номера, ревизия и маркировка портов C37-1…C37-4.</w:t>
      </w:r>
    </w:p>
    <w:p>
      <w:pPr>
        <w:jc w:val="both"/>
        <w:spacing w:after="120" w:line="300" w:lineRule="auto"/>
      </w:pPr>
      <w:r>
        <w:rPr>
          <w:b/>
        </w:rPr>
        <w:t xml:space="preserve">7.2</w:t>
      </w:r>
      <w:r>
        <w:rPr/>
        <w:t xml:space="preserve">Оптические разъёмы должны быть защищены колпачками.</w:t>
      </w:r>
    </w:p>
    <w:p>
      <w:pPr>
        <w:jc w:val="both"/>
        <w:spacing w:after="120" w:line="300" w:lineRule="auto"/>
      </w:pPr>
      <w:r>
        <w:rPr>
          <w:b/>
        </w:rPr>
        <w:t xml:space="preserve">7.3</w:t>
      </w:r>
      <w:r>
        <w:rPr/>
        <w:t xml:space="preserve">Хранение в заводской таре должно быть обеспечено не менее 1 года по ГОСТ 15150.</w:t>
      </w:r>
    </w:p>
    <w:p>
      <w:pPr>
        <w:jc w:val="both"/>
        <w:spacing w:after="120" w:line="300" w:lineRule="auto"/>
      </w:pPr>
      <w:r>
        <w:rPr>
          <w:b/>
        </w:rPr>
        <w:t xml:space="preserve">7.4</w:t>
      </w:r>
      <w:r>
        <w:rPr/>
        <w:t xml:space="preserve">Незаданные условия консервации не устанавливаются.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7.</w:t>
      </w:r>
      <w:r>
        <w:rPr>
          <w:i/>
        </w:rPr>
        <w:t xml:space="preserve">Осмотром маркировки и упаковки подтвердить пп. 7.1 и 7.2; проверкой требований к хранению подтвердить срок не менее 1 года по ГОСТ 15150.</w:t>
      </w:r>
    </w:p>
    <w:p>
      <w:pPr>
        <w:pStyle w:val="Heading1"/>
        <w:jc w:val="center"/>
      </w:pPr>
      <w:r>
        <w:rPr>
          <w:b/>
        </w:rPr>
        <w:t xml:space="preserve">8. Специальные требования</w:t>
      </w:r>
    </w:p>
    <w:p>
      <w:pPr>
        <w:jc w:val="both"/>
        <w:spacing w:after="120" w:line="300" w:lineRule="auto"/>
      </w:pPr>
      <w:r>
        <w:rPr>
          <w:b/>
        </w:rPr>
        <w:t xml:space="preserve">8.1</w:t>
      </w:r>
      <w:r>
        <w:rPr/>
        <w:t xml:space="preserve">Телеметрия РМО (C++/Qt) должна включать мнемосхему четырёх портов, N, DDM в дБм, LOS/LOF/Yellow Alarm, задержку, асимметрию и статус P2.</w:t>
      </w:r>
    </w:p>
    <w:p>
      <w:pPr>
        <w:jc w:val="both"/>
        <w:spacing w:after="120" w:line="300" w:lineRule="auto"/>
      </w:pPr>
      <w:r>
        <w:rPr>
          <w:b/>
        </w:rPr>
        <w:t xml:space="preserve">8.2</w:t>
      </w:r>
      <w:r>
        <w:rPr/>
        <w:t xml:space="preserve">Должны быть предусмотрены команды настройки N, режима тактирования и P2, управления петлями и запуска PRBS.</w:t>
      </w:r>
    </w:p>
    <w:p>
      <w:pPr>
        <w:jc w:val="both"/>
        <w:spacing w:after="120" w:line="300" w:lineRule="auto"/>
      </w:pPr>
      <w:r>
        <w:rPr>
          <w:b/>
          <w:i/>
        </w:rPr>
        <w:t xml:space="preserve">Проверка 8.</w:t>
      </w:r>
      <w:r>
        <w:rPr>
          <w:i/>
        </w:rPr>
        <w:t xml:space="preserve">Функциональной проверкой РМО подтвердить отображение каждого элемента п. 8.1; подачей каждой команды подтвердить настройку N, режима тактирования и P2, управление петлями и запуск PRBS. Форматы сообщений, отчётов и команд — [уточнить].</w:t>
      </w:r>
    </w:p>
    <w:p>
      <w:pPr>
        <w:jc w:val="both"/>
        <w:spacing w:after="120" w:line="300" w:lineRule="auto"/>
      </w:pPr>
      <w:r>
        <w:rPr/>
        <w:t xml:space="preserve">Разработчик ТЗ: должность [уточнить] подпись ____________ инициалы, фамилия [уточнить] дата [уточнить]</w:t>
      </w:r>
    </w:p>
    <w:p>
      <w:pPr>
        <w:jc w:val="both"/>
        <w:spacing w:after="120" w:line="300" w:lineRule="auto"/>
      </w:pPr>
      <w:r>
        <w:rPr/>
        <w:t xml:space="preserve">Согласовано: [уточнить] подпись ____________ инициалы, фамилия [уточнить] дата [уточнить]</w:t>
      </w:r>
    </w:p>
    <w:sectPr>
      <w:headerReference w:type="default" r:id="rId1"/>
      <w:pgSz w:w="11906" w:h="16838"/>
      <w:pgMar w:top="1134" w:right="851" w:bottom="1134" w:left="1134"/>
      <w:cols w:space="720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PAGE"/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ТЗ «Развитие-ТСА»</dc:title>
  <dc:language>ru-RU</dc:language>
</cp:coreProperties>
</file>