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должность, заказчик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должность, исполнитель СЧ ОКР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УТВЕРЖДАЮ</w:t>
            </w:r>
            <w:r>
              <w:br/>
            </w:r>
            <w:r>
              <w:br/>
            </w:r>
            <w:r>
              <w:rPr/>
              <w:t xml:space="preserve">должность, головной исполнитель ОКР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</w:tr>
    </w:tbl>
    <w:p>
      <w:pPr>
        <w:pStyle w:val="Heading1"/>
        <w:jc w:val="center"/>
      </w:pPr>
      <w:r>
        <w:rPr/>
        <w:t xml:space="preserve">ТЕХНИЧЕСКОЕ ЗАДАНИЕ</w:t>
      </w:r>
      <w:r>
        <w:br/>
      </w:r>
      <w:r>
        <w:rPr/>
        <w:t xml:space="preserve">НА СОСТАВНУЮ ЧАСТЬ</w:t>
      </w:r>
      <w:r>
        <w:br/>
      </w:r>
      <w:r>
        <w:rPr/>
        <w:t xml:space="preserve">ОПЫТНО-КОНСТРУКТОРСКОЙ РАБОТЫ</w:t>
      </w:r>
    </w:p>
    <w:p>
      <w:pPr>
        <w:jc w:val="center"/>
      </w:pPr>
      <w:r>
        <w:rPr>
          <w:b/>
        </w:rPr>
        <w:t xml:space="preserve">Разработка сменной интерфейсной субплаты 8×E1</w:t>
      </w:r>
      <w:r>
        <w:br/>
      </w:r>
      <w:r>
        <w:rPr>
          <w:b/>
        </w:rPr>
        <w:t xml:space="preserve">и функционального модуля E1 для универсального базового модуля AMC</w:t>
      </w:r>
      <w:r>
        <w:br/>
      </w:r>
      <w:r>
        <w:rPr>
          <w:b/>
        </w:rPr>
        <w:t xml:space="preserve">семейства ДММП</w:t>
      </w:r>
    </w:p>
    <w:p>
      <w:pPr>
        <w:jc w:val="center"/>
      </w:pPr>
      <w:r>
        <w:rPr/>
        <w:t xml:space="preserve">Шифр ОКР: «Развитие-ТСА»</w:t>
      </w:r>
    </w:p>
    <w:p>
      <w:pPr>
        <w:jc w:val="center"/>
      </w:pPr>
      <w:r>
        <w:rPr/>
        <w:t xml:space="preserve">Обозначение составной части изделия: [уточнить]</w:t>
      </w:r>
    </w:p>
    <w:p>
      <w:pPr>
        <w:pStyle w:val="Small"/>
      </w:pPr>
      <w:r>
        <w:rPr/>
        <w:t xml:space="preserve">Регистрационный номер: [уточнить]</w:t>
      </w:r>
    </w:p>
    <w:p>
      <w:pPr>
        <w:pStyle w:val="Small"/>
      </w:pPr>
      <w:r>
        <w:rPr/>
        <w:t xml:space="preserve">Действует с дополнением: ____________________</w:t>
      </w:r>
    </w:p>
    <w:p>
      <w:r>
        <w:br w:type="page"/>
      </w:r>
    </w:p>
    <w:p>
      <w:pPr>
        <w:pStyle w:val="Heading1"/>
        <w:jc w:val="center"/>
      </w:pPr>
      <w:r>
        <w:rPr/>
        <w:t xml:space="preserve">ЛИСТ СОГЛАСОВАНИЯ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0" w:type="auto"/>
          </w:tcPr>
          <w:p>
            <w:r>
              <w:rPr/>
              <w:t xml:space="preserve">Организация / должность</w:t>
            </w:r>
          </w:p>
        </w:tc>
        <w:tc>
          <w:tcPr>
            <w:tcW w:w="0" w:type="auto"/>
          </w:tcPr>
          <w:p>
            <w:r>
              <w:rPr/>
              <w:t xml:space="preserve">Роль</w:t>
            </w:r>
          </w:p>
        </w:tc>
        <w:tc>
          <w:tcPr>
            <w:tcW w:w="0" w:type="auto"/>
          </w:tcPr>
          <w:p>
            <w:r>
              <w:rPr/>
              <w:t xml:space="preserve">Подпись, инициалы, фамилия</w:t>
            </w:r>
          </w:p>
        </w:tc>
        <w:tc>
          <w:tcPr>
            <w:tcW w:w="0" w:type="auto"/>
          </w:tcPr>
          <w:p>
            <w:r>
              <w:rPr/>
              <w:t xml:space="preserve">Дата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r>
              <w:rPr/>
              <w:t xml:space="preserve">Заказчик либо НИО заказчика</w:t>
            </w:r>
          </w:p>
        </w:tc>
        <w:tc>
          <w:tcPr>
            <w:tcW w:w="0" w:type="auto"/>
          </w:tcPr>
          <w:p>
            <w:r>
              <w:rPr/>
              <w:t xml:space="preserve"> </w:t>
            </w:r>
          </w:p>
        </w:tc>
        <w:tc>
          <w:tcPr>
            <w:tcW w:w="0" w:type="auto"/>
          </w:tcPr>
          <w:p>
            <w:r>
              <w:rPr/>
              <w:t xml:space="preserve">«___» __________ 20__ г.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ООО «тушканчик»</w:t>
            </w:r>
          </w:p>
        </w:tc>
        <w:tc>
          <w:tcPr>
            <w:tcW w:w="0" w:type="auto"/>
          </w:tcPr>
          <w:p>
            <w:r>
              <w:rPr/>
              <w:t xml:space="preserve">Исполнитель составной части ОКР</w:t>
            </w:r>
          </w:p>
        </w:tc>
        <w:tc>
          <w:tcPr>
            <w:tcW w:w="0" w:type="auto"/>
          </w:tcPr>
          <w:p>
            <w:r>
              <w:rPr/>
              <w:t xml:space="preserve"> </w:t>
            </w:r>
          </w:p>
        </w:tc>
        <w:tc>
          <w:tcPr>
            <w:tcW w:w="0" w:type="auto"/>
          </w:tcPr>
          <w:p>
            <w:r>
              <w:rPr/>
              <w:t xml:space="preserve">«___» __________ 20__ г.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r>
              <w:rPr/>
              <w:t xml:space="preserve">Головной исполнитель ОКР</w:t>
            </w:r>
          </w:p>
        </w:tc>
        <w:tc>
          <w:tcPr>
            <w:tcW w:w="0" w:type="auto"/>
          </w:tcPr>
          <w:p>
            <w:r>
              <w:rPr/>
              <w:t xml:space="preserve"> </w:t>
            </w:r>
          </w:p>
        </w:tc>
        <w:tc>
          <w:tcPr>
            <w:tcW w:w="0" w:type="auto"/>
          </w:tcPr>
          <w:p>
            <w:r>
              <w:rPr/>
              <w:t xml:space="preserve">«___» __________ 20__ г.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r>
              <w:rPr/>
              <w:t xml:space="preserve">Другая согласующая организация — при наличии решения заказчика или головного исполнителя</w:t>
            </w:r>
          </w:p>
        </w:tc>
        <w:tc>
          <w:tcPr>
            <w:tcW w:w="0" w:type="auto"/>
          </w:tcPr>
          <w:p>
            <w:r>
              <w:rPr/>
              <w:t xml:space="preserve"> </w:t>
            </w:r>
          </w:p>
        </w:tc>
        <w:tc>
          <w:tcPr>
            <w:tcW w:w="0" w:type="auto"/>
          </w:tcPr>
          <w:p>
            <w:r>
              <w:rPr/>
              <w:t xml:space="preserve">«___» __________ 20__ г.</w:t>
            </w:r>
          </w:p>
        </w:tc>
      </w:tr>
    </w:tbl>
    <w:p>
      <w:pPr>
        <w:pStyle w:val="Small"/>
      </w:pPr>
      <w:r>
        <w:rPr/>
        <w:t xml:space="preserve">Состав и уровень должностных лиц согласующих организаций подлежат уточнению в соответствии с ГОСТ 15.016-2016, 7.2 и решением заказчика.</w:t>
      </w:r>
    </w:p>
    <w:p>
      <w:pPr>
        <w:pStyle w:val="Heading2"/>
      </w:pPr>
      <w:r>
        <w:rPr/>
        <w:t xml:space="preserve">ОБОЗНАЧЕНИЯ И СОКРАЩЕНИЯ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0" w:type="auto"/>
          </w:tcPr>
          <w:p>
            <w:r>
              <w:rPr/>
              <w:t xml:space="preserve">Обозначение</w:t>
            </w:r>
          </w:p>
        </w:tc>
        <w:tc>
          <w:tcPr>
            <w:tcW w:w="0" w:type="auto"/>
          </w:tcPr>
          <w:p>
            <w:r>
              <w:rPr/>
              <w:t xml:space="preserve">Расшифровка / значение по исходным данным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AMC</w:t>
            </w:r>
          </w:p>
        </w:tc>
        <w:tc>
          <w:tcPr>
            <w:tcW w:w="0" w:type="auto"/>
          </w:tcPr>
          <w:p>
            <w:r>
              <w:rPr/>
              <w:t xml:space="preserve">Обозначение платформы/форм-фактора; официальная расшифровка в исходных данных отсутствует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ПЛИС</w:t>
            </w:r>
          </w:p>
        </w:tc>
        <w:tc>
          <w:tcPr>
            <w:tcW w:w="0" w:type="auto"/>
          </w:tcPr>
          <w:p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B2B</w:t>
            </w:r>
          </w:p>
        </w:tc>
        <w:tc>
          <w:tcPr>
            <w:tcW w:w="0" w:type="auto"/>
          </w:tcPr>
          <w:p>
            <w:r>
              <w:rPr/>
              <w:t xml:space="preserve">Обозначение межплатного интерфейса; расшифровка отсутствует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Board ID</w:t>
            </w:r>
          </w:p>
        </w:tc>
        <w:tc>
          <w:tcPr>
            <w:tcW w:w="0" w:type="auto"/>
          </w:tcPr>
          <w:p>
            <w:r>
              <w:rPr/>
              <w:t xml:space="preserve">Идентификатор платы; числовое значение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MMC</w:t>
            </w:r>
          </w:p>
        </w:tc>
        <w:tc>
          <w:tcPr>
            <w:tcW w:w="0" w:type="auto"/>
          </w:tcPr>
          <w:p>
            <w:r>
              <w:rPr/>
              <w:t xml:space="preserve">Обозначение интерфейса/средства управления модулем; расшифровка отсутствует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РМО</w:t>
            </w:r>
          </w:p>
        </w:tc>
        <w:tc>
          <w:tcPr>
            <w:tcW w:w="0" w:type="auto"/>
          </w:tcPr>
          <w:p>
            <w:r>
              <w:rPr/>
              <w:t xml:space="preserve">Рабочее место оператора.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ОКР</w:t>
            </w:r>
          </w:p>
        </w:tc>
        <w:tc>
          <w:tcPr>
            <w:tcW w:w="0" w:type="auto"/>
          </w:tcPr>
          <w:p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РКД</w:t>
            </w:r>
          </w:p>
        </w:tc>
        <w:tc>
          <w:tcPr>
            <w:tcW w:w="0" w:type="auto"/>
          </w:tcPr>
          <w:p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ПМИ</w:t>
            </w:r>
          </w:p>
        </w:tc>
        <w:tc>
          <w:tcPr>
            <w:tcW w:w="0" w:type="auto"/>
          </w:tcPr>
          <w:p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TDM</w:t>
            </w:r>
          </w:p>
        </w:tc>
        <w:tc>
          <w:tcPr>
            <w:tcW w:w="0" w:type="auto"/>
          </w:tcPr>
          <w:p>
            <w:r>
              <w:rPr/>
              <w:t xml:space="preserve">Передача с временным разделением каналов; англоязычная расшифровка в исходных данных отсутствует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E1</w:t>
            </w:r>
          </w:p>
        </w:tc>
        <w:tc>
          <w:tcPr>
            <w:tcW w:w="0" w:type="auto"/>
          </w:tcPr>
          <w:p>
            <w:r>
              <w:rPr/>
              <w:t xml:space="preserve">Цифровой поток/линия 2048 кбит/с согласно заданным требованиям.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SDH, PDH</w:t>
            </w:r>
          </w:p>
        </w:tc>
        <w:tc>
          <w:tcPr>
            <w:tcW w:w="0" w:type="auto"/>
          </w:tcPr>
          <w:p>
            <w:r>
              <w:rPr/>
              <w:t xml:space="preserve">Области применения; расшифровки в исходных данных отсутствуют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LIU, EEPROM, Flash, RJ-48C, 8P8C</w:t>
            </w:r>
          </w:p>
        </w:tc>
        <w:tc>
          <w:tcPr>
            <w:tcW w:w="0" w:type="auto"/>
          </w:tcPr>
          <w:p>
            <w:r>
              <w:rPr/>
              <w:t xml:space="preserve">Обозначения компонентов, интерфейсов или исполнения; расшифровки в исходных данных отсутствуют — [уточнить].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SAToP, CESoPSN, QoS, PDV, AIS, LOS, LOF, RAI, CRC-4, HDB3, AMI, BER, PRBS, ES, SES, UAS, TCLK, ACR, G.826, G.823, SNMP, MIB</w:t>
            </w:r>
          </w:p>
        </w:tc>
        <w:tc>
          <w:tcPr>
            <w:tcW w:w="0" w:type="auto"/>
          </w:tcPr>
          <w:p>
            <w:r>
              <w:rPr/>
              <w:t xml:space="preserve">Протоколы, режимы, аварии, показатели или интерфейсные обозначения в соответствии с требованиями настоящего ТЗ; полные расшифровки, кроме приведённых в перечне нормативных документов, исходными данными не заданы — [уточнить] при выпуске РКД/ПМИ.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/>
        <w:t xml:space="preserve">ПЕРЕЧЕНЬ ПРИМЕНИМЫХ НОРМАТИВНЫХ И СПРАВОЧНЫХ ДОКУМЕНТОВ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0" w:type="auto"/>
          </w:tcPr>
          <w:p>
            <w:r>
              <w:rPr/>
              <w:t xml:space="preserve">Обозначение</w:t>
            </w:r>
          </w:p>
        </w:tc>
        <w:tc>
          <w:tcPr>
            <w:tcW w:w="0" w:type="auto"/>
          </w:tcPr>
          <w:p>
            <w:r>
              <w:rPr/>
              <w:t xml:space="preserve">Наименование / область применения по исходным данным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ГОСТ 15.016-2016</w:t>
            </w:r>
          </w:p>
        </w:tc>
        <w:tc>
          <w:tcPr>
            <w:tcW w:w="0" w:type="auto"/>
          </w:tcPr>
          <w:p>
            <w:r>
              <w:rPr/>
              <w:t xml:space="preserve">Система разработки и постановки продукции на производство. Техническое задание. Требования к содержанию и оформлению. Применён в части 6.1, 6.2 и 7.1.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ITU-T G.703</w:t>
            </w:r>
          </w:p>
        </w:tc>
        <w:tc>
          <w:tcPr>
            <w:tcW w:w="0" w:type="auto"/>
          </w:tcPr>
          <w:p>
            <w:r>
              <w:rPr/>
              <w:t xml:space="preserve">Маска импульса E1.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ITU-T G.704</w:t>
            </w:r>
          </w:p>
        </w:tc>
        <w:tc>
          <w:tcPr>
            <w:tcW w:w="0" w:type="auto"/>
          </w:tcPr>
          <w:p>
            <w:r>
              <w:rPr/>
              <w:t xml:space="preserve">Кадровый режим E1.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ITU-T G.823</w:t>
            </w:r>
          </w:p>
        </w:tc>
        <w:tc>
          <w:tcPr>
            <w:tcW w:w="0" w:type="auto"/>
          </w:tcPr>
          <w:p>
            <w:r>
              <w:rPr/>
              <w:t xml:space="preserve">Требования к джиттеру и вандеру.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ITU-T G.826</w:t>
            </w:r>
          </w:p>
        </w:tc>
        <w:tc>
          <w:tcPr>
            <w:tcW w:w="0" w:type="auto"/>
          </w:tcPr>
          <w:p>
            <w:r>
              <w:rPr/>
              <w:t xml:space="preserve">Статистика ошибок ES, SES, UAS.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RFC 4553</w:t>
            </w:r>
          </w:p>
        </w:tc>
        <w:tc>
          <w:tcPr>
            <w:tcW w:w="0" w:type="auto"/>
          </w:tcPr>
          <w:p>
            <w:r>
              <w:rPr/>
              <w:t xml:space="preserve">SAToP.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RFC 5086</w:t>
            </w:r>
          </w:p>
        </w:tc>
        <w:tc>
          <w:tcPr>
            <w:tcW w:w="0" w:type="auto"/>
          </w:tcPr>
          <w:p>
            <w:r>
              <w:rPr/>
              <w:t xml:space="preserve">CESoPSN.</w:t>
            </w:r>
          </w:p>
        </w:tc>
      </w:tr>
    </w:tbl>
    <w:p>
      <w:pPr>
        <w:pStyle w:val="Small"/>
      </w:pPr>
      <w:r>
        <w:rPr/>
        <w:t xml:space="preserve">Состав перечня сформирован по requirements.md. Конкретные редакции и статус действия документов, кроме указанных обозначений, в исходных данных не заданы.</w:t>
      </w:r>
    </w:p>
    <w:p>
      <w:r>
        <w:br w:type="page"/>
      </w:r>
    </w:p>
    <w:p>
      <w:pPr>
        <w:pStyle w:val="Heading2"/>
      </w:pPr>
      <w:r>
        <w:rPr/>
        <w:t xml:space="preserve">1 Наименование, шифр, основание, исполнители и сроки ОКР</w:t>
      </w:r>
    </w:p>
    <w:p>
      <w:pPr/>
      <w:r>
        <w:rPr/>
        <w:t xml:space="preserve">1.1 Наименование работы: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/>
      <w:r>
        <w:rPr/>
        <w:t xml:space="preserve">1.2 Шифр ОКР — «Развитие-ТСА».</w:t>
      </w:r>
    </w:p>
    <w:p>
      <w:pPr/>
      <w:r>
        <w:rPr/>
        <w:t xml:space="preserve">1.3 Основание для выполнения — приказ об открытии инициативной ОКР № [уточнить] от [уточнить].</w:t>
      </w:r>
    </w:p>
    <w:p>
      <w:pPr/>
      <w:r>
        <w:rPr/>
        <w:t xml:space="preserve">1.4 Исполнитель — ООО «тушканчик» (условное наименование из исходных данных).</w:t>
      </w:r>
    </w:p>
    <w:p>
      <w:pPr/>
      <w:r>
        <w:rPr/>
        <w:t xml:space="preserve">1.5 Сроки выполнения определить в увязке с утверждённым планом-графиком разработки РКД, программной документации, изготовления образцов и испытаний. Календарные даты — [уточнить].</w:t>
      </w:r>
    </w:p>
    <w:p>
      <w:pPr/>
      <w:r>
        <w:rPr/>
        <w:t xml:space="preserve">Проверка: инспекция наличия приказа, исполнителя и утверждённого плана-графика; проверить, что все даты и номер приказа заполнены до утверждения ТЗ.</w:t>
      </w:r>
    </w:p>
    <w:p>
      <w:pPr>
        <w:pStyle w:val="Heading2"/>
      </w:pPr>
      <w:r>
        <w:rPr/>
        <w:t xml:space="preserve">2 Цель выполнения, наименование, назначение и область применения изделия</w:t>
      </w:r>
    </w:p>
    <w:p>
      <w:pPr/>
      <w:r>
        <w:rPr/>
        <w:t xml:space="preserve">2.1 Цель — подключить восемь независимых линий E1 к платформе ДММП с передачей TDM через Ethernet, компенсацией сетевого джиттера и восстановлением частоты.</w:t>
      </w:r>
    </w:p>
    <w:p>
      <w:pPr/>
      <w:r>
        <w:rPr/>
        <w:t xml:space="preserve">2.2 Изделие включает сменную интерфейсную субплату 8×E1 и функциональный модуль E1 для универсального базового модуля AMC семейства ДММП. Субплата устанавливается в AMC Carrier платформы ДММП.</w:t>
      </w:r>
    </w:p>
    <w:p>
      <w:pPr/>
      <w:r>
        <w:rPr/>
        <w:t xml:space="preserve">2.3 Область применения: TDM/SDH/PDH, телефонные станции, диспетчеризация и АСУ ТП энергетических и промышленных предприятий.</w:t>
      </w:r>
    </w:p>
    <w:p>
      <w:pPr/>
      <w:r>
        <w:rPr/>
        <w:t xml:space="preserve">2.4 Аппаратная часть должна включать субплату, интерфейсы, защиту, трансиверы, EEPROM и индикацию портов. Логическая часть должна включать функциональный модуль ПЛИС базовой платы, автоматически активируемый по Board ID.</w:t>
      </w:r>
    </w:p>
    <w:p>
      <w:pPr/>
      <w:r>
        <w:rPr/>
        <w:t xml:space="preserve">Проверка: демонстрация установки AMC на Carrier и инспекция разделения аппаратной и логической частей; Board ID должен автоматически выбирать функциональный модуль.</w:t>
      </w:r>
    </w:p>
    <w:p>
      <w:pPr>
        <w:pStyle w:val="Heading2"/>
      </w:pPr>
      <w:r>
        <w:rPr/>
        <w:t xml:space="preserve">3 Технические требования к изделию</w:t>
      </w:r>
    </w:p>
    <w:p>
      <w:pPr>
        <w:pStyle w:val="Heading3"/>
      </w:pPr>
      <w:r>
        <w:rPr/>
        <w:t xml:space="preserve">3.1 Архитектура и линии E1</w:t>
      </w:r>
    </w:p>
    <w:p>
      <w:pPr/>
      <w:r>
        <w:rPr/>
        <w:t xml:space="preserve">3.1.1 Субплата должна иметь восемь экранированных RJ-48C (8P8C), защиту, импульсные трансформаторы, восьмиканальный LIU, Board ID EEPROM и индикацию портов.</w:t>
      </w:r>
    </w:p>
    <w:p>
      <w:pPr/>
      <w:r>
        <w:rPr/>
        <w:t xml:space="preserve">3.1.2 Числовой Board ID — [уточнить]. Через B2B базовая плата должна предоставлять +12 В/+3,3 В, MMC, тактирование и выбирать bitstream E1 из Flash по Board ID.</w:t>
      </w:r>
    </w:p>
    <w:p>
      <w:pPr/>
      <w:r>
        <w:rPr/>
        <w:t xml:space="preserve">3.1.3 Каждый порт должен иметь симметричный двухпарный интерфейс 120 Ом, 2048 кбит/с (2,048 Мбит/с) ±50 ppm, HDB3 или AMI; маска импульса — по ITU-T G.703.</w:t>
      </w:r>
    </w:p>
    <w:p>
      <w:pPr/>
      <w:r>
        <w:rPr/>
        <w:t xml:space="preserve">3.1.4 Трансформаторная изоляция каждого порта должна быть не менее 1500 В RMS, 50 Гц, 1 мин. Должна быть предусмотрена супрессорная защита от перенапряжений и ESD.</w:t>
      </w:r>
    </w:p>
    <w:p>
      <w:pPr/>
      <w:r>
        <w:rPr/>
        <w:t xml:space="preserve">3.1.5 Короткое замыкание, обрыв или перепутывание пар одного порта не должны влиять на другие порты и модуль.</w:t>
      </w:r>
    </w:p>
    <w:p>
      <w:pPr/>
      <w:r>
        <w:rPr/>
        <w:t xml:space="preserve">Проверка: инспекция схемы и образца; измерение параметров интерфейса и изоляции; поочерёдное создание КЗ, обрыва и перепутывания пар с наблюдением остальных портов и модуля. Приёмочные критерии: 120 Ом; 2048 кбит/с (2,048 Мбит/с) ±50 ppm; изоляция не менее 1500 В RMS, 50 Гц, 1 мин; маска по ITU-T G.703; отсутствие влияния на другие порты и модуль.</w:t>
      </w:r>
    </w:p>
    <w:p>
      <w:pPr>
        <w:pStyle w:val="Heading3"/>
      </w:pPr>
      <w:r>
        <w:rPr/>
        <w:t xml:space="preserve">3.2 Обработка, тактирование и аварии</w:t>
      </w:r>
    </w:p>
    <w:p>
      <w:pPr/>
      <w:r>
        <w:rPr/>
        <w:t xml:space="preserve">3.2.1 Для каждого порта независимо должны поддерживаться два профиля:</w:t>
      </w:r>
    </w:p>
    <w:p>
      <w:pPr>
        <w:numPr>
          <w:ilvl w:val="0"/>
          <w:numId w:val="1"/>
        </w:numPr>
      </w:pPr>
      <w:r>
        <w:rPr/>
        <w:t xml:space="preserve">профиль А SAToP (RFC 4553) — полный неструктурированный поток с настраиваемой полезной нагрузкой и минимальной аппаратной задержкой;</w:t>
      </w:r>
    </w:p>
    <w:p>
      <w:pPr>
        <w:numPr>
          <w:ilvl w:val="0"/>
          <w:numId w:val="1"/>
        </w:numPr>
      </w:pPr>
      <w:r>
        <w:rPr/>
        <w:t xml:space="preserve">профиль Б CESoPSN (RFC 5086) — N×64 кбит/с, TS1–TS31, G.704, CRC-4, CAS (TS16) и CCS.</w:t>
      </w:r>
    </w:p>
    <w:p>
      <w:pPr/>
      <w:r>
        <w:rPr/>
        <w:t xml:space="preserve">3.2.2 Fabric 10GbE должен работать со Strict Priority QoS, без потерь и с минимальной задержкой коммутации.</w:t>
      </w:r>
    </w:p>
    <w:p>
      <w:pPr/>
      <w:r>
        <w:rPr/>
        <w:t xml:space="preserve">3.2.3 Джиттер-буфер каждого канала должен иметь настройку 1–64 мс для компенсации PDV.</w:t>
      </w:r>
    </w:p>
    <w:p>
      <w:pPr/>
      <w:r>
        <w:rPr/>
        <w:t xml:space="preserve">3.2.4 При потере пакетов или аварии сети изделие должно выдавать AIS («все единицы»), сохраняя тактирование.</w:t>
      </w:r>
    </w:p>
    <w:p>
      <w:pPr/>
      <w:r>
        <w:rPr/>
        <w:t xml:space="preserve">3.2.5 Должны поддерживаться режимы передатчика: системный TCLK, ACR от пакетной сети, Free-run/Holdover и Loop timing.</w:t>
      </w:r>
    </w:p>
    <w:p>
      <w:pPr/>
      <w:r>
        <w:rPr/>
        <w:t xml:space="preserve">3.2.6 Восстановленные 2,048 МГц любого выбранного входного порта должны передаваться через B2B как кандидат синхронизации шасси. Джиттер и вандер должны соответствовать ITU-T G.823.</w:t>
      </w:r>
    </w:p>
    <w:p>
      <w:pPr/>
      <w:r>
        <w:rPr/>
        <w:t xml:space="preserve">3.2.7 Непрерывно должны контролироваться LOS, LOF в кадровом режиме, AIS, RAI, CRC-4, нарушения HDB3 и Frame slips. Должна формироваться статистика G.826: ES, SES, UAS.</w:t>
      </w:r>
    </w:p>
    <w:p>
      <w:pPr/>
      <w:r>
        <w:rPr/>
        <w:t xml:space="preserve">3.2.8 Для каждого порта должны поддерживаться Local Line Loopback, Payload Loopback и Packet Loopback. Должны быть встроены генератор и анализатор PRBS 2</w:t>
      </w:r>
      <w:r>
        <w:rPr>
          <w:vertAlign w:val="superscript"/>
        </w:rPr>
        <w:t xml:space="preserve">15</w:t>
      </w:r>
      <w:r>
        <w:rPr/>
        <w:t xml:space="preserve">−1 и 2</w:t>
      </w:r>
      <w:r>
        <w:rPr>
          <w:vertAlign w:val="superscript"/>
        </w:rPr>
        <w:t xml:space="preserve">23</w:t>
      </w:r>
      <w:r>
        <w:rPr/>
        <w:t xml:space="preserve">−1 для BER-тестов.</w:t>
      </w:r>
    </w:p>
    <w:p>
      <w:pPr/>
      <w:r>
        <w:rPr/>
        <w:t xml:space="preserve">Проверка: для каждого порта отдельно проверить оба профиля и все режимы передатчика; на вход подавать нормальный поток, потерю пакетов и аварию сети; наблюдать AIS, сохранение тактирования, выбранный источник синхронизации, аварии и счётчики. Проверить настройки 1–64 мс, три петли и PRBS 2</w:t>
      </w:r>
      <w:r>
        <w:rPr>
          <w:vertAlign w:val="superscript"/>
        </w:rPr>
        <w:t xml:space="preserve">15</w:t>
      </w:r>
      <w:r>
        <w:rPr/>
        <w:t xml:space="preserve">−1/2</w:t>
      </w:r>
      <w:r>
        <w:rPr>
          <w:vertAlign w:val="superscript"/>
        </w:rPr>
        <w:t xml:space="preserve">23</w:t>
      </w:r>
      <w:r>
        <w:rPr/>
        <w:t xml:space="preserve">−1. Критерии: поддержка перечисленных режимов и индикаций; при потере пакетов/аварии сети — AIS («все единицы») при сохранении тактирования; для джиттера и вандера — соответствие ITU-T G.823. Остальные количественные критерии ПМИ не заданы — [уточнить].</w:t>
      </w:r>
    </w:p>
    <w:p>
      <w:pPr>
        <w:pStyle w:val="Heading3"/>
      </w:pPr>
      <w:r>
        <w:rPr/>
        <w:t xml:space="preserve">3.3 Конструкция и эксплуатация</w:t>
      </w:r>
    </w:p>
    <w:p>
      <w:pPr/>
      <w:r>
        <w:rPr/>
        <w:t xml:space="preserve">3.3.1 Изделие должно крепиться к общему лонжерону-теплоотводу и лицевой панели. Разъёмы должны оставлять доступ к защёлкам, обзор светодиодов и вентиляцию.</w:t>
      </w:r>
    </w:p>
    <w:p>
      <w:pPr/>
      <w:r>
        <w:rPr/>
        <w:t xml:space="preserve">3.3.2 Мощность при всех активных портах: субплата — не более 12 Вт, сборка — не более 35 Вт.</w:t>
      </w:r>
    </w:p>
    <w:p>
      <w:pPr/>
      <w:r>
        <w:rPr/>
        <w:t xml:space="preserve">3.3.3 Конструкция: Single Full-size AMC.0, 73,5 × 180,6 × 28,95 мм; межплатное крепление — на 4–6 металлических стойках М2,5.</w:t>
      </w:r>
    </w:p>
    <w:p>
      <w:pPr/>
      <w:r>
        <w:rPr/>
        <w:t xml:space="preserve">3.3.4 Стойкость должна соответствовать ГОСТ РВ 20.39.304-98, группам 1.1, 1.3, 1.4.1, исполнению «О»: рабочая температура −10…+50 °C, предельная −40…+65 °C, синусоидальная вибрация 5g, удары 15g.</w:t>
      </w:r>
    </w:p>
    <w:p>
      <w:pPr/>
      <w:r>
        <w:rPr/>
        <w:t xml:space="preserve">3.3.5 Радиопомехи — группа 1.1.1 ГОСТ В 25803-91.</w:t>
      </w:r>
    </w:p>
    <w:p>
      <w:pPr/>
      <w:r>
        <w:rPr/>
        <w:t xml:space="preserve">3.3.6 MTBF — не менее 15 000 ч; назначенный срок службы — не менее 20 лет.</w:t>
      </w:r>
    </w:p>
    <w:p>
      <w:pPr/>
      <w:r>
        <w:rPr/>
        <w:t xml:space="preserve">Проверка: инспекция конструкции и габаритов; измерение потребляемой мощности при всех активных портах; испытания по заявленным группам, температурам, вибрации, ударам и радиопомехам по применимым документам. Критерии: ≤12 Вт, ≤35 Вт, 73,5 × 180,6 × 28,95 мм, 4–6 стоек М2,5, указанные диапазоны и воздействия, MTBF ≥15 000 ч, срок службы ≥20 лет. Метод подтверждения MTBF и сроков службы — [уточнить в ПМИ].</w:t>
      </w:r>
    </w:p>
    <w:p>
      <w:pPr>
        <w:pStyle w:val="Heading2"/>
      </w:pPr>
      <w:r>
        <w:rPr/>
        <w:t xml:space="preserve">4 Технико-экономические требования</w:t>
      </w:r>
    </w:p>
    <w:p>
      <w:pPr/>
      <w:r>
        <w:rPr/>
        <w:t xml:space="preserve">Требования не предъявляются.</w:t>
      </w:r>
    </w:p>
    <w:p>
      <w:pPr>
        <w:pStyle w:val="Heading2"/>
      </w:pPr>
      <w:r>
        <w:rPr/>
        <w:t xml:space="preserve">5 Требования к видам обеспечения</w:t>
      </w:r>
    </w:p>
    <w:p>
      <w:pPr>
        <w:pStyle w:val="Heading3"/>
      </w:pPr>
      <w:r>
        <w:rPr/>
        <w:t xml:space="preserve">5.1 Нормативное обеспечение</w:t>
      </w:r>
    </w:p>
    <w:p>
      <w:pPr/>
      <w:r>
        <w:rPr/>
        <w:t xml:space="preserve">Применять документы, перечисленные в перечне применимых нормативных и справочных документов настоящего ТЗ.</w:t>
      </w:r>
    </w:p>
    <w:p>
      <w:pPr>
        <w:pStyle w:val="Heading3"/>
      </w:pPr>
      <w:r>
        <w:rPr/>
        <w:t xml:space="preserve">5.2 Метрологическое обеспечение</w:t>
      </w:r>
    </w:p>
    <w:p>
      <w:pPr/>
      <w:r>
        <w:rPr/>
        <w:t xml:space="preserve">Предусмотреть средства и методики измерения маски импульса E1, джиттера/вандера, BER и задержки пакетизации. Допуски, точности и погрешности измерений в исходных данных не заданы — [уточнить].</w:t>
      </w:r>
    </w:p>
    <w:p>
      <w:pPr>
        <w:pStyle w:val="Heading3"/>
      </w:pPr>
      <w:r>
        <w:rPr/>
        <w:t xml:space="preserve">5.3 Диагностическое обеспечение</w:t>
      </w:r>
    </w:p>
    <w:p>
      <w:pPr/>
      <w:r>
        <w:rPr/>
        <w:t xml:space="preserve">Обеспечить регистрацию LOS/LOF/AIS/RAI и счётчиков ошибок, формирование сообщений и отчётов для РМО.</w:t>
      </w:r>
    </w:p>
    <w:p>
      <w:pPr>
        <w:pStyle w:val="Heading3"/>
      </w:pPr>
      <w:r>
        <w:rPr/>
        <w:t xml:space="preserve">5.4 Программное обеспечение</w:t>
      </w:r>
    </w:p>
    <w:p>
      <w:pPr/>
      <w:r>
        <w:rPr/>
        <w:t xml:space="preserve">Разработать bitstream функционального модуля для Flash базовой платы, драйверы Linux и MIB для РМО/SNMP.</w:t>
      </w:r>
    </w:p>
    <w:p>
      <w:pPr/>
      <w:r>
        <w:rPr/>
        <w:t xml:space="preserve">Проверка: инспекция состава документации и демонстрация на РМО регистрации перечисленных аварий, счётчиков, сообщений и отчётов; проверить наличие bitstream, драйверов Linux и MIB. Формат сообщений, отчётов, MIB и критерии полноты не заданы — [уточнить].</w:t>
      </w:r>
    </w:p>
    <w:p>
      <w:pPr>
        <w:pStyle w:val="Heading2"/>
      </w:pPr>
      <w:r>
        <w:rPr/>
        <w:t xml:space="preserve">6 Требования к сырью, материалам и комплектующим изделиям</w:t>
      </w:r>
    </w:p>
    <w:p>
      <w:pPr/>
      <w:r>
        <w:rPr/>
        <w:t xml:space="preserve">6.1 Предусмотреть приоритет отечественных материалов и комплектующих с приёмкой ОТК.</w:t>
      </w:r>
    </w:p>
    <w:p>
      <w:pPr/>
      <w:r>
        <w:rPr/>
        <w:t xml:space="preserve">6.2 При отсутствии отечественных аналогов разрешить импортную ЭКБ промышленного температурного диапазона.</w:t>
      </w:r>
    </w:p>
    <w:p>
      <w:pPr/>
      <w:r>
        <w:rPr/>
        <w:t xml:space="preserve">Проверка: анализ ведомости применённых материалов и комплектующих и документов приёмки ОТК; для импортной ЭКБ проверить наличие обоснования отсутствия отечественного аналога и промышленного температурного диапазона. Форма обоснования — [уточнить].</w:t>
      </w:r>
    </w:p>
    <w:p>
      <w:pPr>
        <w:pStyle w:val="Heading2"/>
      </w:pPr>
      <w:r>
        <w:rPr/>
        <w:t xml:space="preserve">7 Требования к консервации, упаковке и маркировке</w:t>
      </w:r>
    </w:p>
    <w:p>
      <w:pPr/>
      <w:r>
        <w:rPr/>
        <w:t xml:space="preserve">7.1 Предусмотреть децимальный и серийный номера, ревизию и маркировку E1-1…E1-8.</w:t>
      </w:r>
    </w:p>
    <w:p>
      <w:pPr/>
      <w:r>
        <w:rPr/>
        <w:t xml:space="preserve">7.2 Изделие должно иметь индивидуальную тару с ESD-защитой.</w:t>
      </w:r>
    </w:p>
    <w:p>
      <w:pPr/>
      <w:r>
        <w:rPr/>
        <w:t xml:space="preserve">7.3 Хранение в заводской таре — не менее 1 года по ГОСТ 15150.</w:t>
      </w:r>
    </w:p>
    <w:p>
      <w:pPr/>
      <w:r>
        <w:rPr/>
        <w:t xml:space="preserve">7.4 Условия консервации в исходных данных не заданы; дополнительные условия не устанавливать. Способ нанесения и расположение маркировки — [уточнить].</w:t>
      </w:r>
    </w:p>
    <w:p>
      <w:pPr/>
      <w:r>
        <w:rPr/>
        <w:t xml:space="preserve">Проверка: осмотр маркировки и индивидуальной тары; анализ документации на хранение. Критерии: наличие децимального и серийного номеров, ревизии, E1-1…E1-8, ESD-защиты и указания хранения в заводской таре не менее 1 года по ГОСТ 15150.</w:t>
      </w:r>
    </w:p>
    <w:p>
      <w:pPr>
        <w:pStyle w:val="Heading2"/>
      </w:pPr>
      <w:r>
        <w:rPr/>
        <w:t xml:space="preserve">8 Специальные требования</w:t>
      </w:r>
    </w:p>
    <w:p>
      <w:pPr/>
      <w:r>
        <w:rPr/>
        <w:t xml:space="preserve">8.1 Телеметрия РМО (C++/Qt) должна обеспечивать мнемосхему восьми портов, отображение LOS/LOF/AIS/RAI, счётчиков G.826, профиля SAToP/CESoPSN и источника тактирования.</w:t>
      </w:r>
    </w:p>
    <w:p>
      <w:pPr/>
      <w:r>
        <w:rPr/>
        <w:t xml:space="preserve">8.2 Должны поддерживаться команды включения/отключения портов, изменения джиттер-буфера, диагностических петель и PRBS.</w:t>
      </w:r>
    </w:p>
    <w:p>
      <w:pPr/>
      <w:r>
        <w:rPr/>
        <w:t xml:space="preserve">Проверка: демонстрация РМО на восьми портах; последовательно проверить отображение перечисленных состояний и счётчиков, выбор SAToP/CESoPSN и источника тактирования, выполнение каждой команды и наблюдение результата. Критерий: команды изменяют соответствующее состояние или режим, а РМО отображает требуемую информацию; детальные форматы и время реакции — [уточнить].</w:t>
      </w:r>
    </w:p>
    <w:p>
      <w:pPr>
        <w:pStyle w:val="Heading1"/>
        <w:jc w:val="center"/>
      </w:pPr>
      <w:r>
        <w:rPr/>
        <w:t xml:space="preserve">ПОСЛЕДНИЙ ЛИСТ ТЗ НА СОСТАВНУЮ ЧАСТЬ ОКР</w:t>
      </w:r>
    </w:p>
    <w:p>
      <w:pPr>
        <w:jc w:val="center"/>
      </w:pPr>
      <w:r>
        <w:rPr/>
        <w:t xml:space="preserve">Техническое задание на составную часть ОКР</w:t>
      </w:r>
      <w:r>
        <w:br/>
      </w:r>
      <w:r>
        <w:rPr/>
        <w:t xml:space="preserve">«Разработка сменной интерфейсной субплаты 8×E1 и функционального модуля E1 для универсального базового модуля AMC семейства ДММП»</w:t>
      </w:r>
      <w:r>
        <w:br/>
      </w:r>
      <w:r>
        <w:rPr/>
        <w:t xml:space="preserve">Шифр ОКР: «Развитие-ТСА»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РАЗРАБОТАЛ</w:t>
            </w:r>
            <w:r>
              <w:br/>
            </w:r>
            <w:r>
              <w:br/>
            </w:r>
            <w:r>
              <w:rPr/>
              <w:t xml:space="preserve">ООО «тушканчик»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должность, 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должность, 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должность, 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rPr/>
              <w:t xml:space="preserve">[уточнить]</w:t>
            </w:r>
            <w:r>
              <w:br/>
            </w:r>
            <w:r>
              <w:br/>
            </w:r>
            <w:r>
              <w:rPr/>
              <w:t xml:space="preserve"> </w:t>
            </w:r>
            <w:r>
              <w:br/>
            </w:r>
            <w:r>
              <w:rPr/>
              <w:t xml:space="preserve">должность, подпись, инициалы, фамилия</w:t>
            </w:r>
            <w:r>
              <w:br/>
            </w:r>
            <w:r>
              <w:br/>
            </w:r>
            <w:r>
              <w:rPr/>
              <w:t xml:space="preserve">«___» __________ 20__ г.</w:t>
            </w:r>
          </w:p>
        </w:tc>
      </w:tr>
    </w:tbl>
    <w:p>
      <w:pPr>
        <w:pStyle w:val="Small"/>
      </w:pPr>
      <w:r>
        <w:rPr/>
        <w:t xml:space="preserve">Реквизиты, должности, ФИО, даты и подписи, отсутствующие в исходных данных, подлежат заполнению при согласовании и утверждении.</w:t>
      </w:r>
    </w:p>
    <w:p>
      <w:r>
        <w:br w:type="page"/>
      </w:r>
    </w:p>
    <w:sectPr>
      <w:pgSz w:w="11906" w:h="16838"/>
      <w:pgMar w:top="1134" w:right="1020" w:bottom="1020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bullet"/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80" w:line="276" w:lineRule="auto"/>
      </w:pPr>
    </w:pPrDefault>
  </w:docDefaults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Heading3">
    <w:name w:val="heading 3"/>
    <w:basedOn w:val="Normal"/>
    <w:next w:val="Normal"/>
    <w:rPr>
      <w:b/>
      <w:sz w:val="22"/>
    </w:rPr>
  </w:style>
  <w:style w:type="paragraph" w:styleId="Heading4">
    <w:name w:val="heading 4"/>
    <w:basedOn w:val="Normal"/>
    <w:next w:val="Normal"/>
    <w:rPr>
      <w:b/>
    </w:rPr>
  </w:style>
  <w:style w:type="paragraph" w:styleId="Small">
    <w:name w:val="Small"/>
    <w:basedOn w:val="Normal"/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