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00"/>
        <w:gridCol w:w="2200"/>
        <w:gridCol w:w="2200"/>
      </w:tblGrid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СОГЛАСОВАНО</w:t>
              <w:br/>
              <w:t xml:space="preserve"/>
              <w:br/>
              <w:t xml:space="preserve">Заказчик (НИО заказчика): [уточнить]</w:t>
              <w:br/>
              <w:t xml:space="preserve"/>
              <w:br/>
              <w:t xml:space="preserve">__________ / [уточнить]</w:t>
              <w:br/>
              <w:t xml:space="preserve"/>
              <w:br/>
              <w:t xml:space="preserve">«___» __________ 20__ г.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СОГЛАСОВАНО</w:t>
              <w:br/>
              <w:t xml:space="preserve"/>
              <w:br/>
              <w:t xml:space="preserve">Исполнитель составной части ОКР: [уточнить]</w:t>
              <w:br/>
              <w:t xml:space="preserve"/>
              <w:br/>
              <w:t xml:space="preserve">__________ / [уточнить]</w:t>
              <w:br/>
              <w:t xml:space="preserve"/>
              <w:br/>
              <w:t xml:space="preserve">«___» __________ 20__ г.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УТВЕРЖДАЮ</w:t>
              <w:br/>
              <w:t xml:space="preserve"/>
              <w:br/>
              <w:t xml:space="preserve">Головной исполнитель ОКР: [уточнить]</w:t>
              <w:br/>
              <w:t xml:space="preserve"/>
              <w:br/>
              <w:t xml:space="preserve">__________ / [уточнить]</w:t>
              <w:br/>
              <w:t xml:space="preserve"/>
              <w:br/>
              <w:t xml:space="preserve">«___» __________ 20__ г.</w:t>
            </w:r>
          </w:p>
        </w:tc>
      </w:tr>
    </w:tbl>
    <w:p>
      <w:pPr>
        <w:ind w:firstLine="567"/>
        <w:spacing w:after="60"/>
      </w:pPr>
      <w:r>
        <w:t/>
      </w:r>
    </w:p>
    <w:p>
      <w:pPr>
        <w:jc w:val="center"/>
        <w:spacing w:after="60"/>
      </w:pPr>
      <w:r>
        <w:rPr>
          <w:b/>
          <w:rFonts w:ascii="Arial" w:hAnsi="Arial" w:eastAsia="Arial"/>
        </w:rPr>
        <w:t xml:space="preserve">ТЕХНИЧЕСКОЕ ЗАДАНИЕ</w:t>
      </w:r>
    </w:p>
    <w:p>
      <w:pPr>
        <w:jc w:val="center"/>
        <w:spacing w:after="60"/>
      </w:pPr>
      <w:r>
        <w:rPr>
          <w:b/>
          <w:rFonts w:ascii="Arial" w:hAnsi="Arial" w:eastAsia="Arial"/>
        </w:rPr>
        <w:t xml:space="preserve">НА СОСТАВНУЮ ЧАСТЬ ОПЫТНО-КОНСТРУКТОРСКОЙ РАБОТЫ</w:t>
      </w:r>
    </w:p>
    <w:p>
      <w:pPr>
        <w:jc w:val="center"/>
        <w:spacing w:after="60"/>
      </w:pPr>
      <w:r>
        <w:rPr>
          <w:b/>
          <w:rFonts w:ascii="Arial" w:hAnsi="Arial" w:eastAsia="Arial"/>
        </w:rPr>
        <w:t xml:space="preserve">«Разработка сменной интерфейсной субплаты 8×E1 и функционального модуля E1 для универсального базового модуля AMC семейства ДММП»</w:t>
      </w:r>
    </w:p>
    <w:p>
      <w:pPr>
        <w:jc w:val="center"/>
        <w:spacing w:after="60"/>
      </w:pPr>
      <w:r>
        <w:rPr>
          <w:b/>
          <w:rFonts w:ascii="Arial" w:hAnsi="Arial" w:eastAsia="Arial"/>
        </w:rPr>
        <w:t xml:space="preserve">Шифр ОКР «Развитие-ТСА»</w:t>
      </w:r>
    </w:p>
    <w:p>
      <w:pPr>
        <w:jc w:val="center"/>
        <w:spacing w:after="60"/>
      </w:pPr>
      <w:r>
        <w:rPr>
          <w:rFonts w:ascii="Arial" w:hAnsi="Arial" w:eastAsia="Arial"/>
        </w:rPr>
        <w:t xml:space="preserve">Обозначение составной части изделия: [уточнить]</w:t>
      </w:r>
    </w:p>
    <w:p>
      <w:pPr>
        <w:jc w:val="center"/>
        <w:spacing w:after="60"/>
      </w:pPr>
      <w:r>
        <w:rPr>
          <w:rFonts w:ascii="Arial" w:hAnsi="Arial" w:eastAsia="Arial"/>
        </w:rPr>
        <w:t xml:space="preserve">Регистрационный номер: [уточнить]</w:t>
      </w:r>
    </w:p>
    <w:p>
      <w:pPr>
        <w:ind w:firstLine="567"/>
        <w:spacing w:after="60"/>
      </w:pPr>
      <w:r>
        <w:t/>
      </w:r>
    </w:p>
    <w:p>
      <w:pPr>
        <w:jc w:val="center"/>
        <w:spacing w:after="60"/>
      </w:pPr>
      <w:r>
        <w:rPr>
          <w:rFonts w:ascii="Arial" w:hAnsi="Arial" w:eastAsia="Arial"/>
        </w:rPr>
        <w:t xml:space="preserve">Действует с дополнением: —</w:t>
      </w:r>
    </w:p>
    <w:p>
      <w:pPr>
        <w:jc w:val="center"/>
        <w:spacing w:after="60"/>
      </w:pPr>
      <w:r>
        <w:rPr>
          <w:rFonts w:ascii="Arial" w:hAnsi="Arial" w:eastAsia="Arial"/>
        </w:rPr>
        <w:t xml:space="preserve">[уточнить: место составления]</w:t>
      </w:r>
    </w:p>
    <w:p>
      <w:pPr>
        <w:jc w:val="center"/>
        <w:spacing w:after="60"/>
      </w:pPr>
      <w:r>
        <w:rPr>
          <w:rFonts w:ascii="Arial" w:hAnsi="Arial" w:eastAsia="Arial"/>
        </w:rPr>
        <w:t xml:space="preserve">[уточнить: год]</w:t>
      </w:r>
    </w:p>
    <w:p>
      <w:r>
        <w:br w:type="page"/>
      </w:r>
    </w:p>
    <w:p>
      <w:pPr>
        <w:pStyle w:val="Heading1"/>
        <w:ind w:firstLine="567"/>
        <w:spacing w:after="60"/>
      </w:pPr>
      <w:r>
        <w:rPr>
          <w:rFonts w:ascii="Arial" w:hAnsi="Arial" w:eastAsia="Arial"/>
        </w:rPr>
        <w:t xml:space="preserve">Перечень обозначений и сокращений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200"/>
        <w:gridCol w:w="2200"/>
      </w:tblGrid>
      <w:tr>
        <w:trPr>
          <w:tblHeader/>
          <w:cantSplit/>
        </w:trPr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Обозначение / сокращение</w:t>
            </w:r>
          </w:p>
        </w:tc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Значение в настоящем ТЗ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AMC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форм-фактор модуля, соответствующий PICMG AMC.0 R2.0; полное раскрытие сокращения в исходных данных отсутствует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ПЛИС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логическая часть базовой платы, в которой реализуется функциональный модуль E1; полное раскрытие сокращения в исходных данных отсутствует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B2B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межплатный интерфейс между субплатой и базовой платой; полное раскрытие сокращения в исходных данных отсутствует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Board ID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идентификатор субплаты, записанный в EEPROM и используемый базовой платой для выбора bitstream E1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MMC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функция/интерфейс, предоставляемые базовой платой через B2B; полное раскрытие сокращения в исходных данных отсутствует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РМО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средство, для которого формируются сообщения, отчёты и телеметрия; полное раскрытие сокращения в исходных данных отсутствует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ОКР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опытно-конструкторская работа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РКД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рабочая конструкторская документация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ПМИ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документ по проверкам и испытаниям; полное раскрытие сокращения в исходных данных отсутствует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СЧ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составная часть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ТЗ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техническое задание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ЭКБ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компонентная база изделия; полное раскрытие сокращения в исходных данных отсутствует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ОТК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подразделение/функция приёмки комплектующих; полное раскрытие сокращения в исходных данных отсутствует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E1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цифровой интерфейс/линия со скоростью 2048 кбит/с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TDM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передаваемый через Ethernet цифровой поток; полное раскрытие сокращения в исходных данных отсутствует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SDH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область применения изделия; полное раскрытие сокращения в исходных данных отсутствует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PDH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область применения изделия; полное раскрытие сокращения в исходных данных отсутствует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АСУ ТП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область применения изделия на энергетических и промышленных предприятиях; полное раскрытие сокращения в исходных данных отсутствует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LIU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восьмиканальный узел линейных интерфейсов; полное раскрытие сокращения в исходных данных отсутствует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EEPROM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память для хранения Board ID; полное раскрытие сокращения в исходных данных отсутствует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HDB3, AMI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варианты линейного кодирования E1; полные раскрытия сокращений в исходных данных отсутствуют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SAToP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профиль А по RFC 4553; полное раскрытие сокращения в исходных данных отсутствует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CESoPSN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профиль Б по RFC 5086; полное раскрытие сокращения в исходных данных отсутствует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CRC-4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контроль CRC-4 по G.704; полное раскрытие сокращения в исходных данных отсутствует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CAS, CCS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поддерживаемые режимы сигнализации; полные раскрытия сокращений в исходных данных отсутствуют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QoS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обслуживание трафика с дисциплиной Strict Priority; полное раскрытие сокращения в исходных данных отсутствует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PDV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изменение задержки пакетов, компенсируемое джиттер-буфером; полное раскрытие сокращения в исходных данных отсутствует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AIS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аварийный сигнал «все единицы»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LOS, LOF, RAI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контролируемые аварийные состояния; полные раскрытия сокращений в исходных данных отсутствуют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ES, SES, UAS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показатели статистики G.826; полные раскрытия сокращений в исходных данных отсутствуют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PRBS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испытательная псевдослучайная последовательность; полное раскрытие сокращения в исходных данных отсутствует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BER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показатель, измеряемый при тестах с PRBS; полное раскрытие сокращения в исходных данных отсутствует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ESD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воздействие, от которого предусматривается супрессорная защита и защита упаковки; полное раскрытие сокращения в исходных данных отсутствует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MIB, SNMP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средства программного взаимодействия с РМО; полные раскрытия сокращений в исходных данных отсутствуют [уточнить]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MTBF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показатель надёжности со значением не менее 15 000 ч; полное раскрытие сокращения в исходных данных отсутствует [уточнить]</w:t>
            </w:r>
          </w:p>
        </w:tc>
      </w:tr>
    </w:tbl>
    <w:p>
      <w:r>
        <w:br w:type="page"/>
      </w:r>
    </w:p>
    <w:p>
      <w:pPr>
        <w:pStyle w:val="Heading1"/>
        <w:ind w:firstLine="567"/>
        <w:spacing w:after="60"/>
      </w:pPr>
      <w:r>
        <w:rPr>
          <w:rFonts w:ascii="Arial" w:hAnsi="Arial" w:eastAsia="Arial"/>
        </w:rPr>
        <w:t xml:space="preserve">Перечень применимых нормативных и справочных документов</w:t>
      </w:r>
    </w:p>
    <w:p>
      <w:pPr>
        <w:ind w:firstLine="567"/>
        <w:spacing w:after="60"/>
      </w:pPr>
      <w:r>
        <w:rPr>
          <w:rFonts w:ascii="Arial" w:hAnsi="Arial" w:eastAsia="Arial"/>
        </w:rPr>
        <w:t xml:space="preserve">— ГОСТ 15.016—2016 «Система разработки и постановки продукции на производство. Техническое задание. Требования к содержанию и оформлению»</w:t>
      </w:r>
    </w:p>
    <w:p>
      <w:pPr>
        <w:ind w:firstLine="567"/>
        <w:spacing w:after="60"/>
      </w:pPr>
      <w:r>
        <w:rPr>
          <w:rFonts w:ascii="Arial" w:hAnsi="Arial" w:eastAsia="Arial"/>
        </w:rPr>
        <w:t xml:space="preserve">— ITU-T G.703</w:t>
      </w:r>
    </w:p>
    <w:p>
      <w:pPr>
        <w:ind w:firstLine="567"/>
        <w:spacing w:after="60"/>
      </w:pPr>
      <w:r>
        <w:rPr>
          <w:rFonts w:ascii="Arial" w:hAnsi="Arial" w:eastAsia="Arial"/>
        </w:rPr>
        <w:t xml:space="preserve">— ITU-T G.704</w:t>
      </w:r>
    </w:p>
    <w:p>
      <w:pPr>
        <w:ind w:firstLine="567"/>
        <w:spacing w:after="60"/>
      </w:pPr>
      <w:r>
        <w:rPr>
          <w:rFonts w:ascii="Arial" w:hAnsi="Arial" w:eastAsia="Arial"/>
        </w:rPr>
        <w:t xml:space="preserve">— ITU-T G.823</w:t>
      </w:r>
    </w:p>
    <w:p>
      <w:pPr>
        <w:ind w:firstLine="567"/>
        <w:spacing w:after="60"/>
      </w:pPr>
      <w:r>
        <w:rPr>
          <w:rFonts w:ascii="Arial" w:hAnsi="Arial" w:eastAsia="Arial"/>
        </w:rPr>
        <w:t xml:space="preserve">— ITU-T G.826</w:t>
      </w:r>
    </w:p>
    <w:p>
      <w:pPr>
        <w:ind w:firstLine="567"/>
        <w:spacing w:after="60"/>
      </w:pPr>
      <w:r>
        <w:rPr>
          <w:rFonts w:ascii="Arial" w:hAnsi="Arial" w:eastAsia="Arial"/>
        </w:rPr>
        <w:t xml:space="preserve">— RFC 4553 (SAToP)</w:t>
      </w:r>
    </w:p>
    <w:p>
      <w:pPr>
        <w:ind w:firstLine="567"/>
        <w:spacing w:after="60"/>
      </w:pPr>
      <w:r>
        <w:rPr>
          <w:rFonts w:ascii="Arial" w:hAnsi="Arial" w:eastAsia="Arial"/>
        </w:rPr>
        <w:t xml:space="preserve">— RFC 5086 (CESoPSN)</w:t>
      </w:r>
    </w:p>
    <w:p>
      <w:pPr>
        <w:ind w:firstLine="567"/>
        <w:spacing w:after="60"/>
      </w:pPr>
      <w:r>
        <w:rPr>
          <w:rFonts w:ascii="Arial" w:hAnsi="Arial" w:eastAsia="Arial"/>
        </w:rPr>
        <w:t xml:space="preserve">— PICMG AMC.0 R2.0</w:t>
      </w:r>
    </w:p>
    <w:p>
      <w:pPr>
        <w:ind w:firstLine="567"/>
        <w:spacing w:after="60"/>
      </w:pPr>
      <w:r>
        <w:rPr>
          <w:rFonts w:ascii="Arial" w:hAnsi="Arial" w:eastAsia="Arial"/>
        </w:rPr>
        <w:t xml:space="preserve">— ГОСТ РВ 20.39.304-98</w:t>
      </w:r>
    </w:p>
    <w:p>
      <w:pPr>
        <w:ind w:firstLine="567"/>
        <w:spacing w:after="60"/>
      </w:pPr>
      <w:r>
        <w:rPr>
          <w:rFonts w:ascii="Arial" w:hAnsi="Arial" w:eastAsia="Arial"/>
        </w:rPr>
        <w:t xml:space="preserve">— ГОСТ В 25803-91</w:t>
      </w:r>
    </w:p>
    <w:p>
      <w:pPr>
        <w:ind w:firstLine="567"/>
        <w:spacing w:after="60"/>
      </w:pPr>
      <w:r>
        <w:rPr>
          <w:rFonts w:ascii="Arial" w:hAnsi="Arial" w:eastAsia="Arial"/>
        </w:rPr>
        <w:t xml:space="preserve">— ГОСТ 2.114-2016</w:t>
      </w:r>
    </w:p>
    <w:p>
      <w:pPr>
        <w:ind w:firstLine="567"/>
        <w:spacing w:after="60"/>
      </w:pPr>
      <w:r>
        <w:rPr>
          <w:rFonts w:ascii="Arial" w:hAnsi="Arial" w:eastAsia="Arial"/>
        </w:rPr>
        <w:t xml:space="preserve">— ГОСТ РВ 15.201-2003</w:t>
      </w:r>
    </w:p>
    <w:p>
      <w:pPr>
        <w:ind w:firstLine="567"/>
        <w:spacing w:after="60"/>
      </w:pPr>
      <w:r>
        <w:rPr>
          <w:rFonts w:ascii="Arial" w:hAnsi="Arial" w:eastAsia="Arial"/>
        </w:rPr>
        <w:t xml:space="preserve">— ГОСТ 15150</w:t>
      </w:r>
    </w:p>
    <w:p>
      <w:pPr>
        <w:ind w:firstLine="567"/>
        <w:spacing w:after="60"/>
      </w:pPr>
      <w:r>
        <w:rPr>
          <w:i/>
          <w:rFonts w:ascii="Arial" w:hAnsi="Arial" w:eastAsia="Arial"/>
        </w:rPr>
        <w:t xml:space="preserve">Примечание — </w:t>
      </w:r>
      <w:r>
        <w:rPr>
          <w:rFonts w:ascii="Arial" w:hAnsi="Arial" w:eastAsia="Arial"/>
        </w:rPr>
        <w:t xml:space="preserve">Наименования документов, не раскрытые в исходных данных, не дополнены. Применимость требований указанных документов должна быть подтверждена при согласовании ТЗ; значения и допуски, отсутствующие в исходных данных, настоящим ТЗ не устанавливаются.</w:t>
      </w:r>
    </w:p>
    <w:p>
      <w:pPr>
        <w:pStyle w:val="Heading1"/>
        <w:ind w:firstLine="567"/>
        <w:spacing w:after="60"/>
      </w:pPr>
      <w:r>
        <w:rPr>
          <w:rFonts w:ascii="Arial" w:hAnsi="Arial" w:eastAsia="Arial"/>
        </w:rPr>
        <w:t xml:space="preserve">1 Наименование, шифр ОКР, основание, исполнитель и сроки выполнения ОКР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1.1 </w:t>
      </w:r>
      <w:r>
        <w:rPr>
          <w:rFonts w:ascii="Arial" w:hAnsi="Arial" w:eastAsia="Arial"/>
        </w:rPr>
        <w:t xml:space="preserve">Наименование СЧ ОКР: разработка сменной интерфейсной субплаты 8×E1 и функционального модуля E1 для универсального базового модуля AMC семейства ДММП.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1.2 </w:t>
      </w:r>
      <w:r>
        <w:rPr>
          <w:rFonts w:ascii="Arial" w:hAnsi="Arial" w:eastAsia="Arial"/>
        </w:rPr>
        <w:t xml:space="preserve">Шифр ОКР — «Развитие-ТСА».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1.3 </w:t>
      </w:r>
      <w:r>
        <w:rPr>
          <w:rFonts w:ascii="Arial" w:hAnsi="Arial" w:eastAsia="Arial"/>
        </w:rPr>
        <w:t xml:space="preserve">Основание для выполнения работы — приказ об открытии инициативной ОКР № [уточнить] от [уточнить].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1.4 </w:t>
      </w:r>
      <w:r>
        <w:rPr>
          <w:rFonts w:ascii="Arial" w:hAnsi="Arial" w:eastAsia="Arial"/>
        </w:rPr>
        <w:t xml:space="preserve">Исполнитель СЧ ОКР — ООО «тушканчик» (условное наименование из исходных данных). Головной исполнитель ОКР — [уточнить]. Заказчик (НИО заказчика) — [уточнить].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1.5 </w:t>
      </w:r>
      <w:r>
        <w:rPr>
          <w:rFonts w:ascii="Arial" w:hAnsi="Arial" w:eastAsia="Arial"/>
        </w:rPr>
        <w:t xml:space="preserve">Сроки разработки РКД и программной документации, изготовления образцов и проведения испытаний должны соответствовать утверждённому плану-графику. Календарные сроки и реквизиты плана-графика — [уточнить].</w:t>
      </w:r>
    </w:p>
    <w:p>
      <w:pPr>
        <w:pStyle w:val="Heading1"/>
        <w:ind w:firstLine="567"/>
        <w:spacing w:after="60"/>
      </w:pPr>
      <w:r>
        <w:rPr>
          <w:rFonts w:ascii="Arial" w:hAnsi="Arial" w:eastAsia="Arial"/>
        </w:rPr>
        <w:t xml:space="preserve">2 Цель выполнения, наименование, назначение и область применения изделия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2.1 </w:t>
      </w:r>
      <w:r>
        <w:rPr>
          <w:rFonts w:ascii="Arial" w:hAnsi="Arial" w:eastAsia="Arial"/>
        </w:rPr>
        <w:t xml:space="preserve">Цель работы — подключение восьми независимых линий E1 к платформе ДММП с передачей TDM через Ethernet, компенсацией сетевого джиттера и восстановлением частоты.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2.2 </w:t>
      </w:r>
      <w:r>
        <w:rPr>
          <w:rFonts w:ascii="Arial" w:hAnsi="Arial" w:eastAsia="Arial"/>
        </w:rPr>
        <w:t xml:space="preserve">Разрабатываемое изделие должно включать аппаратную часть — сменную интерфейсную субплату 8×E1 с интерфейсами, защитой, трансиверами и EEPROM — и логическую часть — функциональный модуль E1 в ПЛИС базовой платы.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2.3 </w:t>
      </w:r>
      <w:r>
        <w:rPr>
          <w:rFonts w:ascii="Arial" w:hAnsi="Arial" w:eastAsia="Arial"/>
        </w:rPr>
        <w:t xml:space="preserve">Функциональный модуль E1 должен автоматически активироваться по Board ID субплаты.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2.4 </w:t>
      </w:r>
      <w:r>
        <w:rPr>
          <w:rFonts w:ascii="Arial" w:hAnsi="Arial" w:eastAsia="Arial"/>
        </w:rPr>
        <w:t xml:space="preserve">AMC с установленной субплатой предназначен для установки на Carrier платформы ДММП.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2.5 </w:t>
      </w:r>
      <w:r>
        <w:rPr>
          <w:rFonts w:ascii="Arial" w:hAnsi="Arial" w:eastAsia="Arial"/>
        </w:rPr>
        <w:t xml:space="preserve">Область применения изделия: TDM/SDH/PDH, телефонные станции, диспетчеризация и АСУ ТП энергетических и промышленных предприятий.</w:t>
      </w:r>
    </w:p>
    <w:p>
      <w:pPr>
        <w:pStyle w:val="Heading2"/>
        <w:ind w:firstLine="567"/>
        <w:spacing w:after="60"/>
      </w:pPr>
      <w:r>
        <w:rPr>
          <w:rFonts w:ascii="Arial" w:hAnsi="Arial" w:eastAsia="Arial"/>
        </w:rPr>
        <w:t xml:space="preserve">Проверка требований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200"/>
        <w:gridCol w:w="2200"/>
        <w:gridCol w:w="2200"/>
        <w:gridCol w:w="2200"/>
      </w:tblGrid>
      <w:tr>
        <w:trPr>
          <w:tblHeader/>
          <w:cantSplit/>
        </w:trPr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Требование</w:t>
            </w:r>
          </w:p>
        </w:tc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Метод</w:t>
            </w:r>
          </w:p>
        </w:tc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Условия и действие</w:t>
            </w:r>
          </w:p>
        </w:tc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Критерий / наблюдаемый результат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2.2–2.4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Инспекция и демонстрация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Установить субплату на базовый модуль AMC и AMC на Carrier платформы ДММП; считать Board ID и включить питание.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Наличие аппаратной и логической частей; функциональный модуль E1 выбран из Flash и активирован по Board ID. Числовое значение Board ID определяется после устранения разрыва 3.1.3.</w:t>
            </w:r>
          </w:p>
        </w:tc>
      </w:tr>
    </w:tbl>
    <w:p>
      <w:pPr>
        <w:pStyle w:val="Heading1"/>
        <w:ind w:firstLine="567"/>
        <w:spacing w:after="60"/>
      </w:pPr>
      <w:r>
        <w:rPr>
          <w:rFonts w:ascii="Arial" w:hAnsi="Arial" w:eastAsia="Arial"/>
        </w:rPr>
        <w:t xml:space="preserve">3 Технические требования к изделию</w:t>
      </w:r>
    </w:p>
    <w:p>
      <w:pPr>
        <w:pStyle w:val="Heading2"/>
        <w:ind w:firstLine="567"/>
        <w:spacing w:after="60"/>
      </w:pPr>
      <w:r>
        <w:rPr>
          <w:rFonts w:ascii="Arial" w:hAnsi="Arial" w:eastAsia="Arial"/>
        </w:rPr>
        <w:t xml:space="preserve">3.1 Архитектура и линии E1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3.1.1 </w:t>
      </w:r>
      <w:r>
        <w:rPr>
          <w:rFonts w:ascii="Arial" w:hAnsi="Arial" w:eastAsia="Arial"/>
        </w:rPr>
        <w:t xml:space="preserve">Субплата должна содержать 8 экранированных разъёмов RJ-48C (8P8C), узлы защиты, импульсные трансформаторы, восьмиканальный LIU, EEPROM Board ID и индикацию портов.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3.1.2 </w:t>
      </w:r>
      <w:r>
        <w:rPr>
          <w:rFonts w:ascii="Arial" w:hAnsi="Arial" w:eastAsia="Arial"/>
        </w:rPr>
        <w:t xml:space="preserve">Базовая плата через B2B должна предоставлять субплате питание +12 В и +3,3 В, MMC и тактирование, а также выбирать bitstream E1 из Flash по Board ID.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3.1.3 </w:t>
      </w:r>
      <w:r>
        <w:rPr>
          <w:rFonts w:ascii="Arial" w:hAnsi="Arial" w:eastAsia="Arial"/>
        </w:rPr>
        <w:t xml:space="preserve">Числовое значение Board ID — [уточнить: значение требуется для программирования EEPROM и проверки автоматического выбора bitstream E1; устанавливает головной исполнитель ОКР].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3.1.4 </w:t>
      </w:r>
      <w:r>
        <w:rPr>
          <w:rFonts w:ascii="Arial" w:hAnsi="Arial" w:eastAsia="Arial"/>
        </w:rPr>
        <w:t xml:space="preserve">Каждый из восьми портов должен обеспечивать симметричный двухпарный интерфейс сопротивлением 120 Ом со скоростью 2048 кбит/с (2,048 Мбит/с) ±50 ppm, линейным кодированием HDB3 или AMI и маской импульса по ITU-T G.703.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3.1.5 </w:t>
      </w:r>
      <w:r>
        <w:rPr>
          <w:rFonts w:ascii="Arial" w:hAnsi="Arial" w:eastAsia="Arial"/>
        </w:rPr>
        <w:t xml:space="preserve">Трансформаторная изоляция каждого порта должна выдерживать не менее 1500 В RMS, 50 Гц в течение 1 мин.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3.1.6 </w:t>
      </w:r>
      <w:r>
        <w:rPr>
          <w:rFonts w:ascii="Arial" w:hAnsi="Arial" w:eastAsia="Arial"/>
        </w:rPr>
        <w:t xml:space="preserve">Каждый порт должен иметь супрессорную защиту от перенапряжений и ESD.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3.1.7 </w:t>
      </w:r>
      <w:r>
        <w:rPr>
          <w:rFonts w:ascii="Arial" w:hAnsi="Arial" w:eastAsia="Arial"/>
        </w:rPr>
        <w:t xml:space="preserve">Короткое замыкание, обрыв или перепутывание пар одного порта не должны влиять на другие порты и модуль.</w:t>
      </w:r>
    </w:p>
    <w:p>
      <w:pPr>
        <w:pStyle w:val="Heading2"/>
        <w:ind w:firstLine="567"/>
        <w:spacing w:after="60"/>
      </w:pPr>
      <w:r>
        <w:rPr>
          <w:rFonts w:ascii="Arial" w:hAnsi="Arial" w:eastAsia="Arial"/>
        </w:rPr>
        <w:t xml:space="preserve">3.2 Обработка, тактирование и аварии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3.2.1 </w:t>
      </w:r>
      <w:r>
        <w:rPr>
          <w:rFonts w:ascii="Arial" w:hAnsi="Arial" w:eastAsia="Arial"/>
        </w:rPr>
        <w:t xml:space="preserve">Для каждого порта независимо должен поддерживаться профиль А SAToP по RFC 4553: передача полного неструктурированного потока с настраиваемой полезной нагрузкой и минимальной аппаратной задержкой.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3.2.2 </w:t>
      </w:r>
      <w:r>
        <w:rPr>
          <w:rFonts w:ascii="Arial" w:hAnsi="Arial" w:eastAsia="Arial"/>
        </w:rPr>
        <w:t xml:space="preserve">Для каждого порта независимо должен поддерживаться профиль Б CESoPSN по RFC 5086: N×64 кбит/с, TS1–TS31, ITU-T G.704, CRC-4, CAS (TS16) и CCS.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3.2.3 </w:t>
      </w:r>
      <w:r>
        <w:rPr>
          <w:rFonts w:ascii="Arial" w:hAnsi="Arial" w:eastAsia="Arial"/>
        </w:rPr>
        <w:t xml:space="preserve">Передача пакетного трафика должна выполняться через Fabric 10GbE с Strict Priority QoS, без потерь и с минимальной задержкой коммутации.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3.2.4 </w:t>
      </w:r>
      <w:r>
        <w:rPr>
          <w:rFonts w:ascii="Arial" w:hAnsi="Arial" w:eastAsia="Arial"/>
        </w:rPr>
        <w:t xml:space="preserve">Для каждого канала должен быть предусмотрен настраиваемый джиттер-буфер 1–64 мс для компенсации PDV.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3.2.5 </w:t>
      </w:r>
      <w:r>
        <w:rPr>
          <w:rFonts w:ascii="Arial" w:hAnsi="Arial" w:eastAsia="Arial"/>
        </w:rPr>
        <w:t xml:space="preserve">При потере пакетов или аварии сети каждый затронутый канал должен выдавать AIS («все единицы») с сохранением тактирования.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3.2.6 </w:t>
      </w:r>
      <w:r>
        <w:rPr>
          <w:rFonts w:ascii="Arial" w:hAnsi="Arial" w:eastAsia="Arial"/>
        </w:rPr>
        <w:t xml:space="preserve">Передатчик каждого порта должен поддерживать режимы системного TCLK, ACR от пакетной сети, Free-run/Holdover и Loop timing.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3.2.7 </w:t>
      </w:r>
      <w:r>
        <w:rPr>
          <w:rFonts w:ascii="Arial" w:hAnsi="Arial" w:eastAsia="Arial"/>
        </w:rPr>
        <w:t xml:space="preserve">Восстановленную частоту 2,048 МГц любого выбранного входного порта следует передавать через B2B как кандидата синхронизации шасси.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3.2.8 </w:t>
      </w:r>
      <w:r>
        <w:rPr>
          <w:rFonts w:ascii="Arial" w:hAnsi="Arial" w:eastAsia="Arial"/>
        </w:rPr>
        <w:t xml:space="preserve">Джиттер и вандер должны соответствовать ITU-T G.823.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3.2.9 </w:t>
      </w:r>
      <w:r>
        <w:rPr>
          <w:rFonts w:ascii="Arial" w:hAnsi="Arial" w:eastAsia="Arial"/>
        </w:rPr>
        <w:t xml:space="preserve">По каждому порту должен выполняться непрерывный контроль LOS; LOF в кадровом режиме; AIS; RAI; ошибок CRC-4; нарушений HDB3; Frame slips.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3.2.10 </w:t>
      </w:r>
      <w:r>
        <w:rPr>
          <w:rFonts w:ascii="Arial" w:hAnsi="Arial" w:eastAsia="Arial"/>
        </w:rPr>
        <w:t xml:space="preserve">По каждому порту должна формироваться статистика ITU-T G.826: ES, SES и UAS.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3.2.11 </w:t>
      </w:r>
      <w:r>
        <w:rPr>
          <w:rFonts w:ascii="Arial" w:hAnsi="Arial" w:eastAsia="Arial"/>
        </w:rPr>
        <w:t xml:space="preserve">Для каждого порта должны поддерживаться Local Line Loopback, Payload Loopback и Packet Loopback.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3.2.12 </w:t>
      </w:r>
      <w:r>
        <w:rPr>
          <w:rFonts w:ascii="Arial" w:hAnsi="Arial" w:eastAsia="Arial"/>
        </w:rPr>
        <w:t xml:space="preserve">Для BER-тестов каждого порта должны быть предусмотрены встроенные генератор и анализатор PRBS 2^15−1 и 2^23−1.</w:t>
      </w:r>
    </w:p>
    <w:p>
      <w:pPr>
        <w:pStyle w:val="Heading2"/>
        <w:ind w:firstLine="567"/>
        <w:spacing w:after="60"/>
      </w:pPr>
      <w:r>
        <w:rPr>
          <w:rFonts w:ascii="Arial" w:hAnsi="Arial" w:eastAsia="Arial"/>
        </w:rPr>
        <w:t xml:space="preserve">3.3 Конструкция и эксплуатация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3.3.1 </w:t>
      </w:r>
      <w:r>
        <w:rPr>
          <w:rFonts w:ascii="Arial" w:hAnsi="Arial" w:eastAsia="Arial"/>
        </w:rPr>
        <w:t xml:space="preserve">Субплата должна крепиться к общему лонжерону-теплоотводу и лицевой панели. Размещение разъёмов должно обеспечивать доступ к защёлкам, обзор светодиодов и вентиляцию.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3.3.2 </w:t>
      </w:r>
      <w:r>
        <w:rPr>
          <w:rFonts w:ascii="Arial" w:hAnsi="Arial" w:eastAsia="Arial"/>
        </w:rPr>
        <w:t xml:space="preserve">При всех активных портах потребляемая мощность субплаты должна быть не более 12 Вт, потребляемая мощность сборки — не более 35 Вт.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3.3.3 </w:t>
      </w:r>
      <w:r>
        <w:rPr>
          <w:rFonts w:ascii="Arial" w:hAnsi="Arial" w:eastAsia="Arial"/>
        </w:rPr>
        <w:t xml:space="preserve">Конструктивное исполнение сборки — Single Full-size AMC.0; габаритные размеры — 73,5 × 180,6 × 28,95 мм.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3.3.4 </w:t>
      </w:r>
      <w:r>
        <w:rPr>
          <w:rFonts w:ascii="Arial" w:hAnsi="Arial" w:eastAsia="Arial"/>
        </w:rPr>
        <w:t xml:space="preserve">Межплатное крепление должно выполняться на 4–6 металлических стойках М2,5.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3.3.5 </w:t>
      </w:r>
      <w:r>
        <w:rPr>
          <w:rFonts w:ascii="Arial" w:hAnsi="Arial" w:eastAsia="Arial"/>
        </w:rPr>
        <w:t xml:space="preserve">Изделие должно соответствовать ГОСТ РВ 20.39.304-98, группы 1.1, 1.3, 1.4.1, исполнение «О».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3.3.6 </w:t>
      </w:r>
      <w:r>
        <w:rPr>
          <w:rFonts w:ascii="Arial" w:hAnsi="Arial" w:eastAsia="Arial"/>
        </w:rPr>
        <w:t xml:space="preserve">Рабочая температура должна составлять −10…+50 °C; предельная температура — −40…+65 °C.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3.3.7 </w:t>
      </w:r>
      <w:r>
        <w:rPr>
          <w:rFonts w:ascii="Arial" w:hAnsi="Arial" w:eastAsia="Arial"/>
        </w:rPr>
        <w:t xml:space="preserve">Изделие должно выдерживать синусоидальную вибрацию 5g и удары 15g.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3.3.8 </w:t>
      </w:r>
      <w:r>
        <w:rPr>
          <w:rFonts w:ascii="Arial" w:hAnsi="Arial" w:eastAsia="Arial"/>
        </w:rPr>
        <w:t xml:space="preserve">Требования по радиопомехам — группа 1.1.1 ГОСТ В 25803-91.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3.3.9 </w:t>
      </w:r>
      <w:r>
        <w:rPr>
          <w:rFonts w:ascii="Arial" w:hAnsi="Arial" w:eastAsia="Arial"/>
        </w:rPr>
        <w:t xml:space="preserve">MTBF должен быть не менее 15 000 ч.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3.3.10 </w:t>
      </w:r>
      <w:r>
        <w:rPr>
          <w:rFonts w:ascii="Arial" w:hAnsi="Arial" w:eastAsia="Arial"/>
        </w:rPr>
        <w:t xml:space="preserve">Назначенный срок службы должен быть не менее 20 лет.</w:t>
      </w:r>
    </w:p>
    <w:p>
      <w:pPr>
        <w:pStyle w:val="Heading2"/>
        <w:ind w:firstLine="567"/>
        <w:spacing w:after="60"/>
      </w:pPr>
      <w:r>
        <w:rPr>
          <w:rFonts w:ascii="Arial" w:hAnsi="Arial" w:eastAsia="Arial"/>
        </w:rPr>
        <w:t xml:space="preserve">3.4 Проверка технических требований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200"/>
        <w:gridCol w:w="2200"/>
        <w:gridCol w:w="2200"/>
        <w:gridCol w:w="2200"/>
      </w:tblGrid>
      <w:tr>
        <w:trPr>
          <w:tblHeader/>
          <w:cantSplit/>
        </w:trPr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Требование</w:t>
            </w:r>
          </w:p>
        </w:tc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Метод</w:t>
            </w:r>
          </w:p>
        </w:tc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Условия и действие</w:t>
            </w:r>
          </w:p>
        </w:tc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Критерий / наблюдаемый результат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3.1.1–3.1.2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Инспекция и демонстрация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Проверить состав субплаты и соединение B2B; подать питание и считать Board ID.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Наличие восьми RJ-48C (8P8C), защиты, трансформаторов, восьмиканального LIU, EEPROM, индикации; через B2B доступны +12 В/+3,3 В, MMC, тактирование и выбор bitstream по Board ID.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3.1.4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Измерение и испытание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Для каждого порта проверить пары, сопротивление, скорость, частоту, HDB3 и AMI; измерить импульс.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Две симметричные пары, 120 Ом; 2048 кбит/с (2,048 Мбит/с) ±50 ppm; оба вида кодирования; маска импульса соответствует ITU-T G.703.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3.1.5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Испытание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Для каждого порта приложить между изолированными сторонами 1500 В RMS, 50 Гц на 1 мин.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Изоляция выдерживает воздействие; дополнительные критерии пробоя/тока в исходных данных отсутствуют [уточнить в ПМИ].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3.1.6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Инспекция/испытание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Проверить наличие супрессоров; воздействовать перенапряжением и ESD по применимым методикам.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Супрессорная защита имеется. Уровни воздействий и критерии работоспособности исходными данными не заданы [уточнить в ПМИ].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3.1.7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Испытание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Поочерёдно создать на одном порту КЗ, обрыв и перепутывание пар при работе остальных портов.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Остальные порты и модуль продолжают работу без влияния со стороны неисправного порта; точные показатели трафика не заданы.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3.2.1–3.2.2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Демонстрация/испытание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Независимо на каждом порту включить SAToP, затем CESoPSN; проверить заявленные режимы и поля.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SAToP передаёт полный неструктурированный поток с настраиваемой полезной нагрузкой; CESoPSN поддерживает N×64 кбит/с, TS1–TS31, G.704, CRC-4, CAS (TS16), CCS.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3.2.3–3.2.4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Измерение/испытание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Передавать трафик через Fabric 10GbE с конкурирующим трафиком; установить значения буфера 1 и 64 мс.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Применяется Strict Priority QoS; потери отсутствуют; джиттер-буфер настраивается в пределах 1–64 мс. Числовой предел задержки не задан [уточнить в ПМИ].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3.2.5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Испытание отказа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При активном потоке вызвать потерю пакетов и отдельно аварию сети.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На затронутом канале формируется AIS («все единицы»), тактирование сохраняется. Время реакции и условия очистки AIS не заданы [уточнить в ПМИ].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3.2.6–3.2.8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Демонстрация/измерение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Поочерёдно включить системный TCLK, ACR, Free-run/Holdover и Loop timing; выбрать каждый входной порт кандидатом синхронизации.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Все режимы доступны; через B2B передаётся восстановленная частота 2,048 МГц выбранного порта; джиттер и вандер соответствуют ITU-T G.823. Переходы и восстановление источника не заданы [уточнить в ПМИ].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3.2.9–3.2.10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Испытание/инспекция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Поочерёдно инициировать доступные аварии и ошибки; наблюдать диагностику и статистику.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Непрерывно регистрируются LOS, LOF в кадровом режиме, AIS, RAI, CRC-4, HDB3, Frame slips; формируются ES, SES, UAS по ITU-T G.826.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3.2.11–3.2.12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Испытание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На каждом порту включить три петли; выполнить BER-тест обеими последовательностями.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Работают Local Line Loopback, Payload Loopback, Packet Loopback; генератор/анализатор формирует и анализирует PRBS 2^15−1 и 2^23−1. Допустимый BER и длительность не заданы [уточнить в ПМИ].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3.3.1, 3.3.3–3.3.4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Инспекция/измерение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Осмотреть сборку и измерить габариты.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Крепление и доступ соответствуют требованиям; Single Full-size AMC.0; 73,5 × 180,6 × 28,95 мм; 4–6 металлических стоек М2,5.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3.3.2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Измерение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Активировать все восемь портов и измерить мощности субплаты и сборки.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Субплата ≤12 Вт; сборка ≤35 Вт. Погрешность средств измерений не задана [уточнить в ПМИ].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3.3.5–3.3.8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Испытание/анализ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Провести проверки применимых воздействий, температур, вибрации, ударов и радиопомех.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Группы 1.1, 1.3, 1.4.1, исполнение «О»; работоспособность при −10…+50 °C; предельные −40…+65 °C; 5g; 15g; радиопомехи группы 1.1.1. Погрешности и режимы испытаний определяются применимыми НД и ПМИ.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3.3.9–3.3.10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Расчёт/анализ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Проанализировать показатели надёжности и срока службы по РКД и данным компонентов.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MTBF ≥15 000 ч; назначенный срок службы ≥20 лет. Метод расчёта и доверительная вероятность не заданы [уточнить].</w:t>
            </w:r>
          </w:p>
        </w:tc>
      </w:tr>
    </w:tbl>
    <w:p>
      <w:pPr>
        <w:pStyle w:val="Heading1"/>
        <w:ind w:firstLine="567"/>
        <w:spacing w:after="60"/>
      </w:pPr>
      <w:r>
        <w:rPr>
          <w:rFonts w:ascii="Arial" w:hAnsi="Arial" w:eastAsia="Arial"/>
        </w:rPr>
        <w:t xml:space="preserve">4 Технико-экономические требования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4.1 </w:t>
      </w:r>
      <w:r>
        <w:rPr>
          <w:rFonts w:ascii="Arial" w:hAnsi="Arial" w:eastAsia="Arial"/>
        </w:rPr>
        <w:t xml:space="preserve">Технико-экономические требования к изделию не предъявляются.</w:t>
      </w:r>
    </w:p>
    <w:p>
      <w:pPr>
        <w:pStyle w:val="Heading1"/>
        <w:ind w:firstLine="567"/>
        <w:spacing w:after="60"/>
      </w:pPr>
      <w:r>
        <w:rPr>
          <w:rFonts w:ascii="Arial" w:hAnsi="Arial" w:eastAsia="Arial"/>
        </w:rPr>
        <w:t xml:space="preserve">5 Требования к видам обеспечения</w:t>
      </w:r>
    </w:p>
    <w:p>
      <w:pPr>
        <w:pStyle w:val="Heading2"/>
        <w:ind w:firstLine="567"/>
        <w:spacing w:after="60"/>
      </w:pPr>
      <w:r>
        <w:rPr>
          <w:rFonts w:ascii="Arial" w:hAnsi="Arial" w:eastAsia="Arial"/>
        </w:rPr>
        <w:t xml:space="preserve">5.1 Нормативно-техническое обеспечение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5.1.1 </w:t>
      </w:r>
      <w:r>
        <w:rPr>
          <w:rFonts w:ascii="Arial" w:hAnsi="Arial" w:eastAsia="Arial"/>
        </w:rPr>
        <w:t xml:space="preserve">Разработка и проверка изделия должны выполняться с учётом документов, перечисленных в «Перечне применимых нормативных и справочных документов», в части требований, относящихся к изделию.</w:t>
      </w:r>
    </w:p>
    <w:p>
      <w:pPr>
        <w:pStyle w:val="Heading2"/>
        <w:ind w:firstLine="567"/>
        <w:spacing w:after="60"/>
      </w:pPr>
      <w:r>
        <w:rPr>
          <w:rFonts w:ascii="Arial" w:hAnsi="Arial" w:eastAsia="Arial"/>
        </w:rPr>
        <w:t xml:space="preserve">5.2 Метрологическое обеспечение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5.2.1 </w:t>
      </w:r>
      <w:r>
        <w:rPr>
          <w:rFonts w:ascii="Arial" w:hAnsi="Arial" w:eastAsia="Arial"/>
        </w:rPr>
        <w:t xml:space="preserve">Следует предусмотреть средства и методики измерения маски импульса E1, джиттера и вандера, BER и задержки пакетизации.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5.2.2 </w:t>
      </w:r>
      <w:r>
        <w:rPr>
          <w:rFonts w:ascii="Arial" w:hAnsi="Arial" w:eastAsia="Arial"/>
        </w:rPr>
        <w:t xml:space="preserve">Допуски, погрешности средств измерений, длительности и иные параметры методик, отсутствующие в исходных данных, должны быть установлены в ПМИ после согласования с головным исполнителем ОКР; настоящим ТЗ они не задаются.</w:t>
      </w:r>
    </w:p>
    <w:p>
      <w:pPr>
        <w:pStyle w:val="Heading2"/>
        <w:ind w:firstLine="567"/>
        <w:spacing w:after="60"/>
      </w:pPr>
      <w:r>
        <w:rPr>
          <w:rFonts w:ascii="Arial" w:hAnsi="Arial" w:eastAsia="Arial"/>
        </w:rPr>
        <w:t xml:space="preserve">5.3 Диагностическое обеспечение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5.3.1 </w:t>
      </w:r>
      <w:r>
        <w:rPr>
          <w:rFonts w:ascii="Arial" w:hAnsi="Arial" w:eastAsia="Arial"/>
        </w:rPr>
        <w:t xml:space="preserve">Диагностическое обеспечение должно регистрировать LOS, LOF, AIS, RAI и счётчики ошибок, а также формировать сообщения и отчёты для РМО.</w:t>
      </w:r>
    </w:p>
    <w:p>
      <w:pPr>
        <w:pStyle w:val="Heading2"/>
        <w:ind w:firstLine="567"/>
        <w:spacing w:after="60"/>
      </w:pPr>
      <w:r>
        <w:rPr>
          <w:rFonts w:ascii="Arial" w:hAnsi="Arial" w:eastAsia="Arial"/>
        </w:rPr>
        <w:t xml:space="preserve">5.4 Программное обеспечение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5.4.1 </w:t>
      </w:r>
      <w:r>
        <w:rPr>
          <w:rFonts w:ascii="Arial" w:hAnsi="Arial" w:eastAsia="Arial"/>
        </w:rPr>
        <w:t xml:space="preserve">Должен быть разработан bitstream функционального модуля E1 для Flash базовой платы.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5.4.2 </w:t>
      </w:r>
      <w:r>
        <w:rPr>
          <w:rFonts w:ascii="Arial" w:hAnsi="Arial" w:eastAsia="Arial"/>
        </w:rPr>
        <w:t xml:space="preserve">Должны быть разработаны драйверы Linux и MIB для РМО / SNMP.</w:t>
      </w:r>
    </w:p>
    <w:p>
      <w:pPr>
        <w:pStyle w:val="Heading2"/>
        <w:ind w:firstLine="567"/>
        <w:spacing w:after="60"/>
      </w:pPr>
      <w:r>
        <w:rPr>
          <w:rFonts w:ascii="Arial" w:hAnsi="Arial" w:eastAsia="Arial"/>
        </w:rPr>
        <w:t xml:space="preserve">Проверка требований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200"/>
        <w:gridCol w:w="2200"/>
        <w:gridCol w:w="2200"/>
        <w:gridCol w:w="2200"/>
      </w:tblGrid>
      <w:tr>
        <w:trPr>
          <w:tblHeader/>
          <w:cantSplit/>
        </w:trPr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Требование</w:t>
            </w:r>
          </w:p>
        </w:tc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Метод</w:t>
            </w:r>
          </w:p>
        </w:tc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Условия и действие</w:t>
            </w:r>
          </w:p>
        </w:tc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Критерий / наблюдаемый результат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5.2.1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Инспекция/демонстрация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Проверить комплект средств и методик; выполнить предусмотренные измерения.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Предусмотрены измерения маски импульса E1, джиттера/вандера, BER и задержки пакетизации без подмены критериев 3.1.4, 3.2.8 и 3.2.12.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5.3.1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Испытание/инспекция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Инициировать LOS, LOF, AIS, RAI и ошибки; запросить сообщения и отчёт РМО.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События и счётчики зарегистрированы; для РМО сформированы сообщения и отчёты.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5.4.1–5.4.2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Инспекция/демонстрация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Проверить Flash и комплект ПО; запустить драйверы Linux и обмен РМО / SNMP.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Bitstream E1 предназначен для Flash базовой платы; драйверы Linux и MIB обеспечивают заявленное взаимодействие. Версии ОС и SNMP не заданы [уточнить].</w:t>
            </w:r>
          </w:p>
        </w:tc>
      </w:tr>
    </w:tbl>
    <w:p>
      <w:pPr>
        <w:pStyle w:val="Heading1"/>
        <w:ind w:firstLine="567"/>
        <w:spacing w:after="60"/>
      </w:pPr>
      <w:r>
        <w:rPr>
          <w:rFonts w:ascii="Arial" w:hAnsi="Arial" w:eastAsia="Arial"/>
        </w:rPr>
        <w:t xml:space="preserve">6 Требования к сырью, материалам и комплектующим изделиям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6.1 </w:t>
      </w:r>
      <w:r>
        <w:rPr>
          <w:rFonts w:ascii="Arial" w:hAnsi="Arial" w:eastAsia="Arial"/>
        </w:rPr>
        <w:t xml:space="preserve">При выборе материалов и комплектующих изделий приоритет должен отдаваться отечественным материалам и комплектующим с приёмкой ОТК.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6.2 </w:t>
      </w:r>
      <w:r>
        <w:rPr>
          <w:rFonts w:ascii="Arial" w:hAnsi="Arial" w:eastAsia="Arial"/>
        </w:rPr>
        <w:t xml:space="preserve">При отсутствии отечественных аналогов допускается применение импортной ЭКБ промышленного температурного диапазона.</w:t>
      </w:r>
    </w:p>
    <w:p>
      <w:pPr>
        <w:pStyle w:val="Heading2"/>
        <w:ind w:firstLine="567"/>
        <w:spacing w:after="60"/>
      </w:pPr>
      <w:r>
        <w:rPr>
          <w:rFonts w:ascii="Arial" w:hAnsi="Arial" w:eastAsia="Arial"/>
        </w:rPr>
        <w:t xml:space="preserve">Проверка требований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200"/>
        <w:gridCol w:w="2200"/>
        <w:gridCol w:w="2200"/>
        <w:gridCol w:w="2200"/>
      </w:tblGrid>
      <w:tr>
        <w:trPr>
          <w:tblHeader/>
          <w:cantSplit/>
        </w:trPr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Требование</w:t>
            </w:r>
          </w:p>
        </w:tc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Метод</w:t>
            </w:r>
          </w:p>
        </w:tc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Условия и действие</w:t>
            </w:r>
          </w:p>
        </w:tc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Критерий / наблюдаемый результат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6.1–6.2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Инспекция документов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Проверить спецификации, документы приёмки и обоснования применения импортной ЭКБ.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Для отечественных материалов и комплектующих подтверждена приёмка ОТК; для каждой импортной ЭКБ подтверждены отсутствие отечественного аналога и промышленный температурный диапазон.</w:t>
            </w:r>
          </w:p>
        </w:tc>
      </w:tr>
    </w:tbl>
    <w:p>
      <w:pPr>
        <w:pStyle w:val="Heading1"/>
        <w:ind w:firstLine="567"/>
        <w:spacing w:after="60"/>
      </w:pPr>
      <w:r>
        <w:rPr>
          <w:rFonts w:ascii="Arial" w:hAnsi="Arial" w:eastAsia="Arial"/>
        </w:rPr>
        <w:t xml:space="preserve">7 Требования к консервации, упаковке и маркировке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7.1 </w:t>
      </w:r>
      <w:r>
        <w:rPr>
          <w:rFonts w:ascii="Arial" w:hAnsi="Arial" w:eastAsia="Arial"/>
        </w:rPr>
        <w:t xml:space="preserve">На изделие должны быть нанесены децимальный номер, серийный номер и обозначение ревизии.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7.2 </w:t>
      </w:r>
      <w:r>
        <w:rPr>
          <w:rFonts w:ascii="Arial" w:hAnsi="Arial" w:eastAsia="Arial"/>
        </w:rPr>
        <w:t xml:space="preserve">Порты должны быть маркированы E1-1…E1-8.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7.3 </w:t>
      </w:r>
      <w:r>
        <w:rPr>
          <w:rFonts w:ascii="Arial" w:hAnsi="Arial" w:eastAsia="Arial"/>
        </w:rPr>
        <w:t xml:space="preserve">Изделие должно упаковываться в индивидуальную тару с ESD-защитой.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7.4 </w:t>
      </w:r>
      <w:r>
        <w:rPr>
          <w:rFonts w:ascii="Arial" w:hAnsi="Arial" w:eastAsia="Arial"/>
        </w:rPr>
        <w:t xml:space="preserve">Хранение изделия в заводской таре должно обеспечиваться в течение не менее 1 года по ГОСТ 15150.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7.5 </w:t>
      </w:r>
      <w:r>
        <w:rPr>
          <w:rFonts w:ascii="Arial" w:hAnsi="Arial" w:eastAsia="Arial"/>
        </w:rPr>
        <w:t xml:space="preserve">Условия и способы консервации, не установленные исходными данными, — [уточнить: требуются для завершения требований к консервации и соответствующей части ПМИ].</w:t>
      </w:r>
    </w:p>
    <w:p>
      <w:pPr>
        <w:pStyle w:val="Heading2"/>
        <w:ind w:firstLine="567"/>
        <w:spacing w:after="60"/>
      </w:pPr>
      <w:r>
        <w:rPr>
          <w:rFonts w:ascii="Arial" w:hAnsi="Arial" w:eastAsia="Arial"/>
        </w:rPr>
        <w:t xml:space="preserve">Проверка требований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200"/>
        <w:gridCol w:w="2200"/>
        <w:gridCol w:w="2200"/>
        <w:gridCol w:w="2200"/>
      </w:tblGrid>
      <w:tr>
        <w:trPr>
          <w:tblHeader/>
          <w:cantSplit/>
        </w:trPr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Требование</w:t>
            </w:r>
          </w:p>
        </w:tc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Метод</w:t>
            </w:r>
          </w:p>
        </w:tc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Условия и действие</w:t>
            </w:r>
          </w:p>
        </w:tc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Критерий / наблюдаемый результат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7.1–7.3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Инспекция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Осмотреть изделие, порты и индивидуальную тару.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Имеются децимальный и серийный номера, ревизия, маркировка E1-1…E1-8; тара индивидуальная и имеет ESD-защиту.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7.4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Инспекция/анализ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Проверить документы на упаковку и подтверждение хранения.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Подтверждён срок хранения в заводской таре не менее 1 года по ГОСТ 15150; конкретные условия хранения исходными данными не заданы [уточнить].</w:t>
            </w:r>
          </w:p>
        </w:tc>
      </w:tr>
    </w:tbl>
    <w:p>
      <w:pPr>
        <w:pStyle w:val="Heading1"/>
        <w:ind w:firstLine="567"/>
        <w:spacing w:after="60"/>
      </w:pPr>
      <w:r>
        <w:rPr>
          <w:rFonts w:ascii="Arial" w:hAnsi="Arial" w:eastAsia="Arial"/>
        </w:rPr>
        <w:t xml:space="preserve">8 Специальные требования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8.1 </w:t>
      </w:r>
      <w:r>
        <w:rPr>
          <w:rFonts w:ascii="Arial" w:hAnsi="Arial" w:eastAsia="Arial"/>
        </w:rPr>
        <w:t xml:space="preserve">Телеметрия РМО на C++/Qt должна содержать мнемосхему восьми портов и отображать для каждого применимого порта LOS, LOF, AIS, RAI, счётчики ITU-T G.826, активный профиль SAToP/CESoPSN и источник тактирования.</w:t>
      </w:r>
    </w:p>
    <w:p>
      <w:pPr>
        <w:ind w:firstLine="567"/>
        <w:spacing w:after="60"/>
      </w:pPr>
      <w:r>
        <w:rPr>
          <w:b/>
          <w:rFonts w:ascii="Arial" w:hAnsi="Arial" w:eastAsia="Arial"/>
        </w:rPr>
        <w:t xml:space="preserve">8.2 </w:t>
      </w:r>
      <w:r>
        <w:rPr>
          <w:rFonts w:ascii="Arial" w:hAnsi="Arial" w:eastAsia="Arial"/>
        </w:rPr>
        <w:t xml:space="preserve">РМО должно обеспечивать команды включения и отключения портов, изменения джиттер-буфера, управления диагностическими петлями и PRBS.</w:t>
      </w:r>
    </w:p>
    <w:p>
      <w:pPr>
        <w:pStyle w:val="Heading2"/>
        <w:ind w:firstLine="567"/>
        <w:spacing w:after="60"/>
      </w:pPr>
      <w:r>
        <w:rPr>
          <w:rFonts w:ascii="Arial" w:hAnsi="Arial" w:eastAsia="Arial"/>
        </w:rPr>
        <w:t xml:space="preserve">Проверка требований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200"/>
        <w:gridCol w:w="2200"/>
        <w:gridCol w:w="2200"/>
        <w:gridCol w:w="2200"/>
      </w:tblGrid>
      <w:tr>
        <w:trPr>
          <w:tblHeader/>
          <w:cantSplit/>
        </w:trPr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Требование</w:t>
            </w:r>
          </w:p>
        </w:tc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Метод</w:t>
            </w:r>
          </w:p>
        </w:tc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Условия и действие</w:t>
            </w:r>
          </w:p>
        </w:tc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Критерий / наблюдаемый результат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8.1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Демонстрация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Подключить восемь портов; инициировать состояния и изменить профиль и источник тактирования.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Мнемосхема отображает восемь портов, LOS/LOF/AIS/RAI, счётчики G.826, SAToP/CESoPSN и источник тактирования.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8.2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Демонстрация/испытание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Из РМО выполнить все заявленные команды и наблюдать состояние изделия.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ind w:firstLine="567"/>
              <w:spacing w:after="60"/>
            </w:pPr>
            <w:r>
              <w:rPr>
                <w:rFonts w:ascii="Arial" w:hAnsi="Arial" w:eastAsia="Arial"/>
              </w:rPr>
              <w:t xml:space="preserve">Порты включаются/отключаются; значение джиттер-буфера изменяется в пределах 1–64 мс; петли и PRBS включаются и отключаются. Права доступа и время реакции не заданы [уточнить].</w:t>
            </w:r>
          </w:p>
        </w:tc>
      </w:tr>
    </w:tbl>
    <w:p>
      <w:r>
        <w:br w:type="page"/>
      </w:r>
    </w:p>
    <w:p>
      <w:pPr>
        <w:jc w:val="center"/>
        <w:spacing w:after="60"/>
      </w:pPr>
      <w:r>
        <w:rPr>
          <w:b/>
          <w:rFonts w:ascii="Arial" w:hAnsi="Arial" w:eastAsia="Arial"/>
        </w:rPr>
        <w:t xml:space="preserve">ЛИСТ СОГЛАСОВАНИЯ</w:t>
      </w:r>
    </w:p>
    <w:p>
      <w:pPr>
        <w:jc w:val="center"/>
        <w:spacing w:after="60"/>
      </w:pPr>
      <w:r>
        <w:rPr>
          <w:rFonts w:ascii="Arial" w:hAnsi="Arial" w:eastAsia="Arial"/>
        </w:rPr>
        <w:t xml:space="preserve">к техническому заданию на составную часть ОКР «Развитие-ТСА»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200"/>
        <w:gridCol w:w="2200"/>
        <w:gridCol w:w="2200"/>
        <w:gridCol w:w="2200"/>
        <w:gridCol w:w="2200"/>
        <w:gridCol w:w="2200"/>
      </w:tblGrid>
      <w:tr>
        <w:trPr>
          <w:tblHeader/>
          <w:cantSplit/>
        </w:trPr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Статус</w:t>
            </w:r>
          </w:p>
        </w:tc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Роль</w:t>
            </w:r>
          </w:p>
        </w:tc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Организация</w:t>
            </w:r>
          </w:p>
        </w:tc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Подпись</w:t>
            </w:r>
          </w:p>
        </w:tc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Инициалы, фамилия</w:t>
            </w:r>
          </w:p>
        </w:tc>
        <w:tc>
          <w:tcPr>
            <w:shd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b/>
                <w:rFonts w:ascii="Arial" w:hAnsi="Arial" w:eastAsia="Arial"/>
              </w:rPr>
              <w:t xml:space="preserve">Дата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РАЗРАБОТАЛ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ООО «тушканчик»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[уточнить]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__________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[уточнить]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«___» ________ 20__ г.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СОГЛАСОВАНО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Заказчик (НИО заказчика)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[уточнить]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__________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[уточнить]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«___» ________ 20__ г.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СОГЛАСОВАНО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Головной исполнитель ОКР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[уточнить]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__________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[уточнить]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«___» ________ 20__ г.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СОГЛАСОВАНО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Исполнитель СЧ ОКР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ООО «тушканчик»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__________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[уточнить]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«___» ________ 20__ г.</w:t>
            </w:r>
          </w:p>
        </w:tc>
      </w:tr>
      <w:tr>
        <w:trPr>
          <w:cantSplit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СОГЛАСОВАНО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Другие организации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[уточнить]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__________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[уточнить]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Arial"/>
              </w:rPr>
              <w:t xml:space="preserve">«___» ________ 20__ г.</w:t>
            </w:r>
          </w:p>
        </w:tc>
      </w:tr>
    </w:tbl>
    <w:p>
      <w:pPr>
        <w:ind w:firstLine="567"/>
        <w:spacing w:after="60"/>
      </w:pPr>
      <w:r>
        <w:rPr>
          <w:i/>
          <w:rFonts w:ascii="Arial" w:hAnsi="Arial" w:eastAsia="Arial"/>
        </w:rPr>
        <w:t xml:space="preserve">Примечание — </w:t>
      </w:r>
      <w:r>
        <w:rPr>
          <w:rFonts w:ascii="Arial" w:hAnsi="Arial" w:eastAsia="Arial"/>
        </w:rPr>
        <w:t xml:space="preserve">ФИО, должности, подписи, даты и незаданные реквизиты заполняются при согласовании и утверждении ТЗ.</w:t>
      </w:r>
    </w:p>
    <w:sectPr>
      <w:headerReference w:type="default" r:id="rId1"/>
      <w:pgSz w:w="11906" w:h="16838"/>
      <w:pgMar w:top="1134" w:right="850" w:bottom="1134" w:left="1417" w:header="454" w:footer="454" w:gutter="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> PAGE </w:instrText>
    </w:r>
    <w: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/>
        <w:sz w:val="22"/>
      </w:rPr>
    </w:rPrDefault>
    <w:pPrDefault>
      <w:pPr>
        <w:spacing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00" w:after="120"/>
    </w:pPr>
    <w:rPr>
      <w:b/>
      <w:sz w:val="28"/>
    </w:rPr>
  </w:style>
  <w:style w:type="paragraph" w:styleId="Heading2">
    <w:name w:val="heading 2"/>
    <w:basedOn w:val="Normal"/>
    <w:next w:val="Normal"/>
    <w:pPr>
      <w:keepNext/>
      <w:spacing w:before="160" w:after="100"/>
    </w:pPr>
    <w:rPr>
      <w:b/>
      <w:sz w:val="24"/>
    </w:rPr>
  </w:style>
  <w:style w:type="paragraph" w:styleId="Heading3">
    <w:name w:val="heading 3"/>
    <w:basedOn w:val="Normal"/>
    <w:next w:val="Normal"/>
    <w:pPr>
      <w:keepNext/>
    </w:pPr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 OOXML Generator</Application>
</Properties>
</file>

<file path=docProps/core.xml><?xml version="1.0" encoding="utf-8"?>
<cp:coreProperties xmlns:cp="http://schemas.openxmlformats.org/package/2006/metadata/core-properties" xmlns:dc="http://purl.org/dc/elements/1.1/">
  <dc:title>Техническое задание на СЧ ОКР «Развитие-ТСА»</dc:title>
  <dc:creator>ООО «тушканчик»</dc:creator>
  <dc:subject>Сменная интерфейсная субплата 8×E1 и функциональный модуль E1 для AMC ДММП</dc:subject>
</cp:coreProperties>
</file>