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</w:rPr>
        <w:t xml:space="preserve">СОГЛАСОВАНО                                      СОГЛАСОВАНО                                      УТВЕРЖДАЮ</w:t>
      </w:r>
    </w:p>
    <w:p>
      <w:pPr>
        <w:jc w:val="center"/>
        <w:spacing w:before="0" w:after="80"/>
      </w:pPr>
      <w:r>
        <w:rPr/>
        <w:t xml:space="preserve">Заказчик (НИО заказчика)                         Исполнитель составной части ОКР                 Головной исполнитель ОКР</w:t>
      </w:r>
    </w:p>
    <w:p>
      <w:pPr>
        <w:jc w:val="center"/>
        <w:spacing w:before="0" w:after="80"/>
      </w:pPr>
      <w:r>
        <w:rPr/>
        <w:t xml:space="preserve">Должность: [уточнить]                            ООО «тушканчик»                                Должность: [уточнить]</w:t>
      </w:r>
    </w:p>
    <w:p>
      <w:pPr>
        <w:jc w:val="center"/>
        <w:spacing w:before="0" w:after="80"/>
      </w:pPr>
      <w:r>
        <w:rPr/>
        <w:t xml:space="preserve">Подпись: __________ / [уточнить]                 Подпись: __________ / [уточнить]              Подпись: __________ / [уточнить]</w:t>
      </w:r>
    </w:p>
    <w:p>
      <w:pPr>
        <w:jc w:val="center"/>
        <w:spacing w:before="0" w:after="600"/>
      </w:pPr>
      <w:r>
        <w:rPr/>
        <w:t xml:space="preserve">«___» __________ 20__ г.                         «___» __________ 20__ г.                      «___» __________ 20__ г.</w:t>
      </w:r>
    </w:p>
    <w:p>
      <w:pPr>
        <w:jc w:val="center"/>
        <w:spacing w:before="0" w:after="120"/>
      </w:pPr>
      <w:r>
        <w:rPr>
          <w:b/>
          <w:sz w:val="28"/>
          <w:szCs w:val="28"/>
        </w:rPr>
        <w:t xml:space="preserve">ТЕХНИЧЕСКОЕ ЗАДАНИЕ</w:t>
      </w:r>
    </w:p>
    <w:p>
      <w:pPr>
        <w:jc w:val="center"/>
        <w:spacing w:before="0" w:after="450"/>
      </w:pPr>
      <w:r>
        <w:rPr>
          <w:b/>
          <w:sz w:val="24"/>
          <w:szCs w:val="24"/>
        </w:rPr>
        <w:t xml:space="preserve">НА СОСТАВНУЮ ЧАСТЬ ОПЫТНО-КОНСТРУКТОРСКОЙ РАБОТЫ</w:t>
      </w:r>
    </w:p>
    <w:p>
      <w:pPr>
        <w:jc w:val="center"/>
        <w:spacing w:before="0" w:after="250"/>
      </w:pPr>
      <w:r>
        <w:rPr>
          <w:b/>
        </w:rPr>
        <w:t xml:space="preserve">Разработка сменной интерфейсной субплаты 8×E1 и функционального модуля E1</w:t>
      </w:r>
      <w:br/>
      <w:r>
        <w:rPr>
          <w:b/>
        </w:rPr>
        <w:t xml:space="preserve">для универсального базового модуля AMC семейства ДММП</w:t>
      </w:r>
    </w:p>
    <w:p>
      <w:pPr>
        <w:jc w:val="center"/>
        <w:spacing w:before="0" w:after="300"/>
      </w:pPr>
      <w:r>
        <w:rPr/>
        <w:t xml:space="preserve">Шифр ОКР «Развитие-ТСА»</w:t>
      </w:r>
    </w:p>
    <w:p>
      <w:pPr>
        <w:jc w:val="center"/>
        <w:spacing w:before="0" w:after="600"/>
      </w:pPr>
      <w:r>
        <w:rPr/>
        <w:t xml:space="preserve">Обозначение составной части изделия: [уточнить]</w:t>
      </w:r>
    </w:p>
    <w:p>
      <w:pPr>
        <w:jc w:val="center"/>
        <w:spacing w:before="0" w:after="80"/>
      </w:pPr>
      <w:r>
        <w:rPr/>
        <w:t xml:space="preserve">Регистрационный номер: [уточнить]</w:t>
      </w:r>
    </w:p>
    <w:p>
      <w:pPr>
        <w:jc w:val="center"/>
        <w:spacing w:before="0" w:after="80"/>
      </w:pPr>
      <w:r>
        <w:rPr/>
        <w:t xml:space="preserve">20__</w:t>
      </w:r>
    </w:p>
    <w:p>
      <w:r>
        <w:br w:type="page"/>
      </w:r>
    </w:p>
    <w:p>
      <w:pPr>
        <w:pStyle w:val="Heading1"/>
        <w:jc w:val="center"/>
        <w:spacing w:before="0" w:after="80"/>
      </w:pPr>
      <w:r>
        <w:rPr>
          <w:b/>
        </w:rPr>
        <w:t xml:space="preserve">ЛИСТ СОГЛАСОВАНИЯ</w:t>
      </w:r>
    </w:p>
    <w:tbl>
      <w:tblPr>
        <w:tblW w:w="0" w:type="auto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3100" w:type="dxa"/>
          </w:tcPr>
          <w:p>
            <w:pPr>
              <w:spacing w:before="0" w:after="25"/>
            </w:pPr>
            <w:r>
              <w:rPr>
                <w:b/>
              </w:rPr>
              <w:t xml:space="preserve">Организация / роль</w:t>
            </w:r>
          </w:p>
        </w:tc>
        <w:tc>
          <w:tcPr>
            <w:tcW w:w="2100" w:type="dxa"/>
          </w:tcPr>
          <w:p>
            <w:pPr>
              <w:spacing w:before="0" w:after="25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2700" w:type="dxa"/>
          </w:tcPr>
          <w:p>
            <w:pPr>
              <w:spacing w:before="0" w:after="25"/>
            </w:pPr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1200" w:type="dxa"/>
          </w:tcPr>
          <w:p>
            <w:pPr>
              <w:spacing w:before="0" w:after="25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Заказчик (НИО заказчика)</w:t>
            </w:r>
          </w:p>
        </w:tc>
        <w:tc>
          <w:tcPr>
            <w:tcW w:w="21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  <w:tc>
          <w:tcPr>
            <w:tcW w:w="27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2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  <w:tr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Исполнитель СЧ ОКР — ООО «тушканчик»</w:t>
            </w:r>
          </w:p>
        </w:tc>
        <w:tc>
          <w:tcPr>
            <w:tcW w:w="21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  <w:tc>
          <w:tcPr>
            <w:tcW w:w="27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2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  <w:tr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Головной исполнитель ОКР</w:t>
            </w:r>
          </w:p>
        </w:tc>
        <w:tc>
          <w:tcPr>
            <w:tcW w:w="21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  <w:tc>
          <w:tcPr>
            <w:tcW w:w="27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2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</w:tbl>
    <w:p>
      <w:pPr>
        <w:spacing w:before="160" w:after="80"/>
      </w:pPr>
      <w:r>
        <w:rPr/>
        <w:t xml:space="preserve">Примечание — Состав согласующих организаций определяется в порядке, установленном для ТЗ на составную часть ОКР; незаданные реквизиты обозначены [уточнить].</w:t>
      </w:r>
    </w:p>
    <w:p>
      <w:r>
        <w:br w:type="page"/>
      </w:r>
    </w:p>
    <w:p>
      <w:pPr>
        <w:pStyle w:val="Heading1"/>
        <w:jc w:val="center"/>
        <w:spacing w:before="0" w:after="80"/>
      </w:pPr>
      <w:r>
        <w:rPr>
          <w:b/>
        </w:rPr>
        <w:t xml:space="preserve">ПЕРЕЧЕНЬ ОБОЗНАЧЕНИЙ И СОКРАЩЕНИЙ</w:t>
      </w:r>
    </w:p>
    <w:tbl>
      <w:tblPr>
        <w:tblW w:w="0" w:type="auto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800" w:type="dxa"/>
          </w:tcPr>
          <w:p>
            <w:pPr>
              <w:spacing w:before="0" w:after="25"/>
            </w:pPr>
            <w:r>
              <w:rPr>
                <w:b/>
              </w:rPr>
              <w:t xml:space="preserve">Сокращение / обозначение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>
                <w:b/>
              </w:rPr>
              <w:t xml:space="preserve">Расшифровка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AMC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Advanced Mezzanine Card — модуль Advanced Mezzanine Card.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ACR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Adaptive Clock Recovery — адаптивное восстановление тактовой частоты.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AIS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Alarm Indication Signal — сигнал индикации аварии («все единицы»).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AMI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Alternate Mark Inversion — биполярный код с чередованием полярности единиц.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АСУ ТП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Автоматизированная система управления технологическим процессом.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B2B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Board-to-Board — межплатное соединение.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BER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Bit Error Rate — коэффициент битовых ошибок.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Board ID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Идентификатор платы.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CAS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Channel Associated Signalling — сигнализация, связанная с каналом (TS16).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CCS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Common Channel Signalling — общеканальная сигнализация.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CRC-4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Cyclic Redundancy Check-4 — циклический избыточный контроль 4.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C++/Qt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C++ и Qt — средства разработки телеметрии РМО.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ДММП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Семейство платформы ДММП; расшифровка в исходных данных не задана.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EEPROM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Electrically Erasable Programmable Read-Only Memory — электрически стираемая программируемая постоянная память.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ES / SES / UAS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Errored Seconds / Severely Errored Seconds / Unavailable Seconds — секунды с ошибками / секунды с серьёзными ошибками / секунды неготовности.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ESD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Electrostatic Discharge — электростатический разряд.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Flash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Энергонезависимая память Flash.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HDB3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High Density Bipolar of order 3 — высокоплотный биполярный код третьего порядка.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LIU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Line Interface Unit — устройство линейного интерфейса.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LOF / LOS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Loss of Frame / Loss of Signal — потеря кадровой синхронизации / потеря сигнала.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MMC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Module Management Controller — контроллер управления модулем.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MTBF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Mean Time Between Failures — средняя наработка на отказ.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N×64 кбит/с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N временных каналов по 64 кбит/с.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ОКР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ОТК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Отдел технического контроля.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PDV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Packet Delay Variation — вариация задержки пакетов.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ПЛИС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ПМИ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PRBS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Pseudo-Random Binary Sequence — псевдослучайная двоичная последовательность.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RAI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Remote Alarm Indication — удалённая индикация аварии.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РКД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РМО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RMS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Root Mean Square — среднеквадратическое значение.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SAToP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Structure-Agnostic TDM over Packet — передача неструктурированного TDM через пакетную сеть.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CESoPSN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Circuit Emulation Service over Packet Switched Network — услуга эмуляции каналов через пакетную сеть с коммутацией пакетов.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SNMP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Simple Network Management Protocol — простой протокол сетевого управления.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TCLK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Системная тактовая частота.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TDM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Time Division Multiplexing — мультиплексирование с временным разделением.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TS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Time Slot — временной интервал.</w:t>
            </w:r>
          </w:p>
        </w:tc>
      </w:tr>
      <w:tr>
        <w:tc>
          <w:tcPr>
            <w:tcW w:w="2800" w:type="dxa"/>
          </w:tcPr>
          <w:p>
            <w:pPr>
              <w:spacing w:before="0" w:after="25"/>
            </w:pPr>
            <w:r>
              <w:rPr/>
              <w:t xml:space="preserve">РФ</w:t>
            </w:r>
          </w:p>
        </w:tc>
        <w:tc>
          <w:tcPr>
            <w:tcW w:w="6300" w:type="dxa"/>
          </w:tcPr>
          <w:p>
            <w:pPr>
              <w:spacing w:before="0" w:after="25"/>
            </w:pPr>
            <w:r>
              <w:rPr/>
              <w:t xml:space="preserve">Российская Федерация.</w:t>
            </w:r>
          </w:p>
        </w:tc>
      </w:tr>
    </w:tbl>
    <w:p>
      <w:r>
        <w:br w:type="page"/>
      </w:r>
    </w:p>
    <w:p>
      <w:pPr>
        <w:pStyle w:val="Heading1"/>
        <w:jc w:val="center"/>
        <w:spacing w:before="0" w:after="80"/>
      </w:pPr>
      <w:r>
        <w:rPr>
          <w:b/>
        </w:rPr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3500" w:type="dxa"/>
          </w:tcPr>
          <w:p>
            <w:pPr>
              <w:spacing w:before="0" w:after="25"/>
            </w:pPr>
            <w:r>
              <w:rPr>
                <w:b/>
              </w:rPr>
              <w:t xml:space="preserve">Обозначение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>
                <w:b/>
              </w:rPr>
              <w:t xml:space="preserve">Статус применения в настоящем ТЗ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ГОСТ 15.016—2016 «Система разработки и постановки продукции на производство. Техническое задание. Требования к содержанию и оформлению»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Применяется в части построения, содержания, изложения и оформления ТЗ на составную часть ОКР (разделы 6.1, 6.2 и 7.1).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ITU-T G.703; ITU-T G.704; ITU-T G.823; ITU-T G.826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Применяются к интерфейсу, кадрированию, джиттеру и вандеру, а также статистике качества E1 в объёме требований раздела 3.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RFC 4553 (SAToP); RFC 5086 (CESoPSN)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Применяются к профилям передачи TDM через Ethernet в объёме требований раздела 3.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PICMG AMC.0 R2.0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Применяется к конструктивному исполнению AMC.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ГОСТ РВ 20.39.304-98; ГОСТ В 25803-91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Применяются к стойкости и радиопомехам в объёме требований раздела 3.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ГОСТ 2.114-2016; ГОСТ РВ 15.201-2003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Применимые нормативные документы. Конкретные требования к их применению в исходных данных не заданы.</w:t>
            </w:r>
          </w:p>
        </w:tc>
      </w:tr>
      <w:tr>
        <w:tc>
          <w:tcPr>
            <w:tcW w:w="3500" w:type="dxa"/>
          </w:tcPr>
          <w:p>
            <w:pPr>
              <w:spacing w:before="0" w:after="25"/>
            </w:pPr>
            <w:r>
              <w:rPr/>
              <w:t xml:space="preserve">ГОСТ 15150</w:t>
            </w:r>
          </w:p>
        </w:tc>
        <w:tc>
          <w:tcPr>
            <w:tcW w:w="5600" w:type="dxa"/>
          </w:tcPr>
          <w:p>
            <w:pPr>
              <w:spacing w:before="0" w:after="25"/>
            </w:pPr>
            <w:r>
              <w:rPr/>
              <w:t xml:space="preserve">Применяется к сроку хранения в заводской таре в объёме требований раздела 7.</w:t>
            </w:r>
          </w:p>
        </w:tc>
      </w:tr>
    </w:tbl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1 Наименование, шифр, основание, исполнители и сроки ОКР</w:t>
      </w:r>
    </w:p>
    <w:p>
      <w:pPr>
        <w:spacing w:before="0" w:after="55"/>
      </w:pPr>
      <w:r>
        <w:rPr/>
        <w:t xml:space="preserve">1.1  Наименование СЧ ОКР —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spacing w:before="0" w:after="55"/>
      </w:pPr>
      <w:r>
        <w:rPr/>
        <w:t xml:space="preserve">1.2  Шифр ОКР — «Развитие-ТСА».</w:t>
      </w:r>
    </w:p>
    <w:p>
      <w:pPr>
        <w:spacing w:before="0" w:after="55"/>
      </w:pPr>
      <w:r>
        <w:rPr/>
        <w:t xml:space="preserve">1.3  Основание для выполнения — приказ об открытии инициативной ОКР № [уточнить] от [уточнить].</w:t>
      </w:r>
    </w:p>
    <w:p>
      <w:pPr>
        <w:spacing w:before="0" w:after="55"/>
      </w:pPr>
      <w:r>
        <w:rPr/>
        <w:t xml:space="preserve">1.4  Исполнитель СЧ ОКР — ООО «тушканчик».</w:t>
      </w:r>
    </w:p>
    <w:p>
      <w:pPr>
        <w:spacing w:before="0" w:after="55"/>
      </w:pPr>
      <w:r>
        <w:rPr/>
        <w:t xml:space="preserve">1.5  Сроки выполнения СЧ ОКР устанавливаются утверждённым планом-графиком разработки РКД, программной документации, изготовления образцов и испытаний. Даты начала, окончания и реквизиты плана-графика: [уточнить]. Сроки СЧ ОКР должны быть увязаны со сроками ОКР.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2 Цель выполнения, наименование, назначение и область применения изделия</w:t>
      </w:r>
    </w:p>
    <w:p>
      <w:pPr>
        <w:spacing w:before="0" w:after="55"/>
      </w:pPr>
      <w:r>
        <w:rPr/>
        <w:t xml:space="preserve">2.1  Цель — разработка СЧ ОКР, обеспечивающей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spacing w:before="0" w:after="55"/>
      </w:pPr>
      <w:r>
        <w:rPr/>
        <w:t xml:space="preserve">2.2  Наименование изделия — сменная интерфейсная субплата 8×E1 и функциональный модуль E1 для универсального базового модуля AMC семейства ДММП. Обозначение изделия: [уточнить].</w:t>
      </w:r>
    </w:p>
    <w:p>
      <w:pPr>
        <w:spacing w:before="0" w:after="55"/>
      </w:pPr>
      <w:r>
        <w:rPr/>
        <w:t xml:space="preserve">2.3  Аппаратная часть должна включать субплату, интерфейсы, защиту, трансиверы и EEPROM.</w:t>
      </w:r>
    </w:p>
    <w:p>
      <w:pPr>
        <w:spacing w:before="0" w:after="55"/>
      </w:pPr>
      <w:r>
        <w:rPr/>
        <w:t xml:space="preserve">2.4  Логическая часть должна представлять собой функциональный модуль ПЛИС базовой платы, автоматически активируемый по Board ID.</w:t>
      </w:r>
    </w:p>
    <w:p>
      <w:pPr>
        <w:spacing w:before="0" w:after="55"/>
      </w:pPr>
      <w:r>
        <w:rPr/>
        <w:t xml:space="preserve">2.5  AMC должен устанавливаться на Carrier платформы ДММП.</w:t>
      </w:r>
    </w:p>
    <w:p>
      <w:pPr>
        <w:spacing w:before="0" w:after="55"/>
      </w:pPr>
      <w:r>
        <w:rPr/>
        <w:t xml:space="preserve">2.6  Область применения: TDM/SDH/PDH, телефонные станции, диспетчеризация и АСУ ТП энергетических и промышленных предприятий.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3 Технические требования к изделию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3.1 Архитектура и линии E1</w:t>
      </w:r>
    </w:p>
    <w:p>
      <w:pPr>
        <w:spacing w:before="0" w:after="55"/>
      </w:pPr>
      <w:r>
        <w:rPr/>
        <w:t xml:space="preserve">3.1.1  Субплата должна содержать 8 экранированных разъёмов RJ-48C (8P8C), защиту, импульсные трансформаторы, восьмиканальный LIU, EEPROM Board ID и индикацию портов.</w:t>
      </w:r>
    </w:p>
    <w:p>
      <w:pPr>
        <w:spacing w:before="0" w:after="55"/>
      </w:pPr>
      <w:r>
        <w:rPr/>
        <w:t xml:space="preserve">3.1.2  Числовой Board ID: [уточнить].</w:t>
      </w:r>
    </w:p>
    <w:p>
      <w:pPr>
        <w:spacing w:before="0" w:after="55"/>
      </w:pPr>
      <w:r>
        <w:rPr/>
        <w:t xml:space="preserve">3.1.3  Через B2B базовая плата должна предоставлять +12 В, +3,3 В, MMC и тактирование, а также выбирать bitstream E1 из Flash по Board ID.</w:t>
      </w:r>
    </w:p>
    <w:p>
      <w:pPr>
        <w:spacing w:before="0" w:after="55"/>
      </w:pPr>
      <w:r>
        <w:rPr/>
        <w:t xml:space="preserve">3.1.4  Каждый порт E1 должен иметь симметричный двухпарный интерфейс 120 Ом, скорость 2048 кбит/с (2,048 Мбит/с) ±50 ppm, код HDB3 или AMI и маску импульса по ITU-T G.703.</w:t>
      </w:r>
    </w:p>
    <w:p>
      <w:pPr>
        <w:spacing w:before="0" w:after="55"/>
      </w:pPr>
      <w:r>
        <w:rPr/>
        <w:t xml:space="preserve">3.1.5  Трансформаторная изоляция каждого порта должна быть не менее 1500 В RMS при 50 Гц в течение 1 мин. Каждый порт должен иметь супрессорную защиту от перенапряжений и ESD.</w:t>
      </w:r>
    </w:p>
    <w:p>
      <w:pPr>
        <w:spacing w:before="0" w:after="55"/>
      </w:pPr>
      <w:r>
        <w:rPr/>
        <w:t xml:space="preserve">3.1.6  Короткое замыкание, обрыв или перепутывание пар одного порта не должны влиять на другие порты и модуль.</w:t>
      </w:r>
    </w:p>
    <w:p>
      <w:pPr>
        <w:spacing w:before="0" w:after="55"/>
      </w:pPr>
      <w:r>
        <w:rPr/>
        <w:t xml:space="preserve">3.1.7  Проверка: осмотр состава субплаты; измерение параметров каждого интерфейса и изоляции; проверка маски импульса по ITU-T G.703; подача КЗ, обрыва и перепутывания пар на один порт с наблюдением работоспособности остальных портов и модуля. Критерии — требования 3.1.1—3.1.6; числовой Board ID должен быть предоставлен для проверки 3.1.2.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3.2 Обработка, тактирование и аварии</w:t>
      </w:r>
    </w:p>
    <w:p>
      <w:pPr>
        <w:spacing w:before="0" w:after="55"/>
      </w:pPr>
      <w:r>
        <w:rPr/>
        <w:t xml:space="preserve">3.2.1  Для каждого порта независимо должен поддерживаться профиль А SAToP по RFC 4553: полный неструктурированный поток с настраиваемой полезной нагрузкой и минимальной аппаратной задержкой.</w:t>
      </w:r>
    </w:p>
    <w:p>
      <w:pPr>
        <w:spacing w:before="0" w:after="55"/>
      </w:pPr>
      <w:r>
        <w:rPr/>
        <w:t xml:space="preserve">3.2.2  Для каждого порта независимо должен поддерживаться профиль Б CESoPSN по RFC 5086: N×64 кбит/с, TS1–TS31, ITU-T G.704, CRC-4, CAS (TS16) и CCS.</w:t>
      </w:r>
    </w:p>
    <w:p>
      <w:pPr>
        <w:spacing w:before="0" w:after="55"/>
      </w:pPr>
      <w:r>
        <w:rPr/>
        <w:t xml:space="preserve">3.2.3  Fabric 10GbE должен использовать Strict Priority QoS, работать без потерь и обеспечивать минимальную задержку коммутации.</w:t>
      </w:r>
    </w:p>
    <w:p>
      <w:pPr>
        <w:spacing w:before="0" w:after="55"/>
      </w:pPr>
      <w:r>
        <w:rPr/>
        <w:t xml:space="preserve">3.2.4  Джиттер-буфер каждого канала должен иметь диапазон 1–64 мс для компенсации PDV.</w:t>
      </w:r>
    </w:p>
    <w:p>
      <w:pPr>
        <w:spacing w:before="0" w:after="55"/>
      </w:pPr>
      <w:r>
        <w:rPr/>
        <w:t xml:space="preserve">3.2.5  При потере пакетов или аварии сети должен выдаваться AIS («все единицы») с сохранением тактирования.</w:t>
      </w:r>
    </w:p>
    <w:p>
      <w:pPr>
        <w:spacing w:before="0" w:after="55"/>
      </w:pPr>
      <w:r>
        <w:rPr/>
        <w:t xml:space="preserve">3.2.6  Должны поддерживаться режимы передатчика: системный TCLK, ACR от пакетной сети, Free-run/Holdover и Loop timing.</w:t>
      </w:r>
    </w:p>
    <w:p>
      <w:pPr>
        <w:spacing w:before="0" w:after="55"/>
      </w:pPr>
      <w:r>
        <w:rPr/>
        <w:t xml:space="preserve">3.2.7  Восстановленная частота 2,048 МГц любого выбранного входного порта должна передаваться через B2B как кандидат синхронизации шасси. Джиттер и вандер должны соответствовать ITU-T G.823.</w:t>
      </w:r>
    </w:p>
    <w:p>
      <w:pPr>
        <w:spacing w:before="0" w:after="55"/>
      </w:pPr>
      <w:r>
        <w:rPr/>
        <w:t xml:space="preserve">3.2.8  Непрерывно должны контролироваться LOS, LOF в кадровом режиме, AIS, RAI, CRC-4, нарушения HDB3 и Frame slips. Должна вестись статистика ITU-T G.826: ES, SES, UAS.</w:t>
      </w:r>
    </w:p>
    <w:p>
      <w:pPr>
        <w:spacing w:before="0" w:after="55"/>
      </w:pPr>
      <w:r>
        <w:rPr/>
        <w:t xml:space="preserve">3.2.9  Для каждого порта должны поддерживаться Local Line Loopback, Payload Loopback и Packet Loopback, а также встроенные генератор и анализатор PRBS 2^15−1 и 2^23−1 для BER-тестов.</w:t>
      </w:r>
    </w:p>
    <w:p>
      <w:pPr>
        <w:spacing w:before="0" w:after="55"/>
      </w:pPr>
      <w:r>
        <w:rPr/>
        <w:t xml:space="preserve">3.2.10  Проверка: для каждого порта проверяют оба профиля, перечисленные временные интервалы и виды сигнализации; диапазон джиттер-буфера 1–64 мс; все режимы передатчика; передачу кандидата 2,048 МГц через B2B; контроль перечисленных аварий и статистики; все три диагностические петли и обе PRBS. При потере пакетов и аварии сети наблюдают AIS («все единицы») и сохранение тактирования. Количественные критерии задержки коммутации, аппаратной задержки, уровня потерь Fabric, а также методика и пределы оценки ITU-T G.823 не заданы; они требуются для завершения соответствующих испытаний.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3.3 Конструкция и эксплуатация</w:t>
      </w:r>
    </w:p>
    <w:p>
      <w:pPr>
        <w:spacing w:before="0" w:after="55"/>
      </w:pPr>
      <w:r>
        <w:rPr/>
        <w:t xml:space="preserve">3.3.1  Субплата должна крепиться к общему лонжерону-теплоотводу и лицевой панели. Разъёмы должны оставлять доступ к защёлкам, обзор светодиодов и вентиляцию.</w:t>
      </w:r>
    </w:p>
    <w:p>
      <w:pPr>
        <w:spacing w:before="0" w:after="55"/>
      </w:pPr>
      <w:r>
        <w:rPr/>
        <w:t xml:space="preserve">3.3.2  Мощность при всех активных портах: субплата — не более 12 Вт; сборка — не более 35 Вт.</w:t>
      </w:r>
    </w:p>
    <w:p>
      <w:pPr>
        <w:spacing w:before="0" w:after="55"/>
      </w:pPr>
      <w:r>
        <w:rPr/>
        <w:t xml:space="preserve">3.3.3  Конструктивное исполнение — Single Full-size AMC.0, 73,5 × 180,6 × 28,95 мм. Межплатное крепление — на 4–6 металлических стойках М2,5.</w:t>
      </w:r>
    </w:p>
    <w:p>
      <w:pPr>
        <w:spacing w:before="0" w:after="55"/>
      </w:pPr>
      <w:r>
        <w:rPr/>
        <w:t xml:space="preserve">3.3.4  Стойкость должна соответствовать ГОСТ РВ 20.39.304-98: группы 1.1, 1.3, 1.4.1, исполнение «О»; рабочая температура −10…+50 °C; предельная температура −40…+65 °C; синусоидальная вибрация 5g; удары 15g. Радиопомехи — группа 1.1.1 ГОСТ В 25803-91.</w:t>
      </w:r>
    </w:p>
    <w:p>
      <w:pPr>
        <w:spacing w:before="0" w:after="55"/>
      </w:pPr>
      <w:r>
        <w:rPr/>
        <w:t xml:space="preserve">3.3.5  MTBF должен быть не менее 15 000 ч. Назначенный срок службы должен быть не менее 20 лет.</w:t>
      </w:r>
    </w:p>
    <w:p>
      <w:pPr>
        <w:spacing w:before="0" w:after="55"/>
      </w:pPr>
      <w:r>
        <w:rPr/>
        <w:t xml:space="preserve">3.3.6  Проверка: осмотр крепления, доступа к защёлкам, светодиодам и вентиляции; измерение мощности при всех активных портах; контроль габаритов и количества стоек; испытания или иное подтверждение по указанным группам, температурам, вибрации, ударам и радиопомехам; подтверждение показателей MTBF и назначенного срока службы. Метод оценки MTBF и назначенного срока службы, а также допускаемые погрешности измерений габаритов, мощности и воздействий в исходных данных не заданы.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4 Технико-экономические требования</w:t>
      </w:r>
    </w:p>
    <w:p>
      <w:pPr>
        <w:spacing w:before="0" w:after="55"/>
      </w:pPr>
      <w:r>
        <w:rPr/>
        <w:t xml:space="preserve">4.1  Технико-экономические требования не предъявляются.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5 Требования к видам обеспечения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5.1 Нормативно-техническое обеспечение</w:t>
      </w:r>
    </w:p>
    <w:p>
      <w:pPr>
        <w:spacing w:before="0" w:after="55"/>
      </w:pPr>
      <w:r>
        <w:rPr/>
        <w:t xml:space="preserve">5.1.1  При разработке должны применяться документы, приведённые в перечне применимых нормативных и справочных документов настоящего ТЗ, в установленном для каждого из них объёме.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5.2 Метрологическое обеспечение</w:t>
      </w:r>
    </w:p>
    <w:p>
      <w:pPr>
        <w:spacing w:before="0" w:after="55"/>
      </w:pPr>
      <w:r>
        <w:rPr/>
        <w:t xml:space="preserve">5.2.1  Должны быть предусмотрены средства и методики измерения маски импульса E1, джиттера/вандера, BER и задержки пакетизации. Незаданные допуски не устанавливаются.</w:t>
      </w:r>
    </w:p>
    <w:p>
      <w:pPr>
        <w:spacing w:before="0" w:after="55"/>
      </w:pPr>
      <w:r>
        <w:rPr/>
        <w:t xml:space="preserve">5.2.2  Проверка: наличие средств и методик для каждого из четырёх указанных объектов измерения. Требования к точности, достоверности, периодичности и аттестации методик в исходных данных не заданы.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5.3 Диагностическое обеспечение</w:t>
      </w:r>
    </w:p>
    <w:p>
      <w:pPr>
        <w:spacing w:before="0" w:after="55"/>
      </w:pPr>
      <w:r>
        <w:rPr/>
        <w:t xml:space="preserve">5.3.1  Должны обеспечиваться регистрация LOS, LOF, AIS, RAI и счётчиков ошибок, а также формирование сообщений и отчётов для РМО.</w:t>
      </w:r>
    </w:p>
    <w:p>
      <w:pPr>
        <w:spacing w:before="0" w:after="55"/>
      </w:pPr>
      <w:r>
        <w:rPr/>
        <w:t xml:space="preserve">5.3.2  Проверка: инициирование каждого указанного состояния и ошибок с наблюдением регистрации, сообщений и отчётов в РМО.</w:t>
      </w:r>
    </w:p>
    <w:p>
      <w:pPr>
        <w:pStyle w:val="Heading2"/>
        <w:spacing w:before="120" w:after="70"/>
      </w:pPr>
      <w:r>
        <w:rPr>
          <w:b/>
          <w:sz w:val="22"/>
          <w:szCs w:val="22"/>
        </w:rPr>
        <w:t xml:space="preserve">5.4 Программное обеспечение</w:t>
      </w:r>
    </w:p>
    <w:p>
      <w:pPr>
        <w:spacing w:before="0" w:after="55"/>
      </w:pPr>
      <w:r>
        <w:rPr/>
        <w:t xml:space="preserve">5.4.1  Должны быть разработаны bitstream функционального модуля для Flash базовой платы, драйверы Linux и MIB для РМО / SNMP.</w:t>
      </w:r>
    </w:p>
    <w:p>
      <w:pPr>
        <w:spacing w:before="0" w:after="55"/>
      </w:pPr>
      <w:r>
        <w:rPr/>
        <w:t xml:space="preserve">5.4.2  Проверка: проверка наличия и применения bitstream из Flash базовой платы, драйверов Linux и MIB для РМО / SNMP. Версии, состав MIB и критерии совместимости не заданы.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6 Требования к сырью, материалам и комплектующим изделиям</w:t>
      </w:r>
    </w:p>
    <w:p>
      <w:pPr>
        <w:spacing w:before="0" w:after="55"/>
      </w:pPr>
      <w:r>
        <w:rPr/>
        <w:t xml:space="preserve">6.1  Должен быть обеспечен приоритет отечественных материалов и комплектующих изделий с приёмкой ОТК.</w:t>
      </w:r>
    </w:p>
    <w:p>
      <w:pPr>
        <w:spacing w:before="0" w:after="55"/>
      </w:pPr>
      <w:r>
        <w:rPr/>
        <w:t xml:space="preserve">6.2  При отсутствии аналогов допускается применение импортной ЭКБ промышленного температурного диапазона.</w:t>
      </w:r>
    </w:p>
    <w:p>
      <w:pPr>
        <w:spacing w:before="0" w:after="55"/>
      </w:pPr>
      <w:r>
        <w:rPr/>
        <w:t xml:space="preserve">6.3  Проверка: анализ перечня материалов, комплектующих и документов приёмки ОТК; для импортной ЭКБ — подтверждение отсутствия аналога и промышленного температурного диапазона. Порядок подтверждения отсутствия аналога не задан.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7 Требования к консервации, упаковке и маркировке</w:t>
      </w:r>
    </w:p>
    <w:p>
      <w:pPr>
        <w:spacing w:before="0" w:after="55"/>
      </w:pPr>
      <w:r>
        <w:rPr/>
        <w:t xml:space="preserve">7.1  Маркировка должна содержать децимальный номер, серийный номер, ревизию и обозначения портов E1-1…E1-8.</w:t>
      </w:r>
    </w:p>
    <w:p>
      <w:pPr>
        <w:spacing w:before="0" w:after="55"/>
      </w:pPr>
      <w:r>
        <w:rPr/>
        <w:t xml:space="preserve">7.2  Должна быть предусмотрена индивидуальная тара с ESD-защитой.</w:t>
      </w:r>
    </w:p>
    <w:p>
      <w:pPr>
        <w:spacing w:before="0" w:after="55"/>
      </w:pPr>
      <w:r>
        <w:rPr/>
        <w:t xml:space="preserve">7.3  Хранение в заводской таре — не менее 1 года по ГОСТ 15150.</w:t>
      </w:r>
    </w:p>
    <w:p>
      <w:pPr>
        <w:spacing w:before="0" w:after="55"/>
      </w:pPr>
      <w:r>
        <w:rPr/>
        <w:t xml:space="preserve">7.4  Условия консервации: [уточнить]. Сведения для их задания в исходных данных отсутствуют.</w:t>
      </w:r>
    </w:p>
    <w:p>
      <w:pPr>
        <w:spacing w:before="0" w:after="55"/>
      </w:pPr>
      <w:r>
        <w:rPr/>
        <w:t xml:space="preserve">7.5  Проверка: осмотр маркировки и индивидуальной тары с ESD-защитой; контроль установленного срока хранения. Условия консервации подлежат уточнению для разработки методики проверки 7.4.</w:t>
      </w:r>
    </w:p>
    <w:p>
      <w:pPr>
        <w:pStyle w:val="Heading1"/>
        <w:spacing w:before="180" w:after="100"/>
      </w:pPr>
      <w:r>
        <w:rPr>
          <w:b/>
          <w:sz w:val="24"/>
          <w:szCs w:val="24"/>
        </w:rPr>
        <w:t xml:space="preserve">8 Специальные требования</w:t>
      </w:r>
    </w:p>
    <w:p>
      <w:pPr>
        <w:spacing w:before="0" w:after="55"/>
      </w:pPr>
      <w:r>
        <w:rPr/>
        <w:t xml:space="preserve">8.1  Телеметрия РМО (C++/Qt) должна предоставлять мнемосхему 8 портов, LOS, LOF, AIS, RAI, счётчики ITU-T G.826, выбранный SAToP/CESoPSN и источник тактирования.</w:t>
      </w:r>
    </w:p>
    <w:p>
      <w:pPr>
        <w:spacing w:before="0" w:after="55"/>
      </w:pPr>
      <w:r>
        <w:rPr/>
        <w:t xml:space="preserve">8.2  Должны поддерживаться команды: включение/отключение портов, изменение джиттер-буфера, диагностические петли и PRBS.</w:t>
      </w:r>
    </w:p>
    <w:p>
      <w:pPr>
        <w:spacing w:before="0" w:after="55"/>
      </w:pPr>
      <w:r>
        <w:rPr/>
        <w:t xml:space="preserve">8.3  Проверка: в РМО проверить мнемосхему восьми портов и отображение каждого указанного статуса, счётчика, профиля и источника тактирования; выполнить все указанные команды и наблюдать соответствующее состояние порта, буфера, петли или PRBS. Формат сообщений, интерфейс команд и права доступа в исходных данных не заданы.</w:t>
      </w:r>
    </w:p>
    <w:p>
      <w:r>
        <w:br w:type="page"/>
      </w:r>
    </w:p>
    <w:p>
      <w:pPr>
        <w:pStyle w:val="Heading1"/>
        <w:jc w:val="center"/>
        <w:spacing w:before="0" w:after="80"/>
      </w:pPr>
      <w:r>
        <w:rPr>
          <w:b/>
        </w:rPr>
        <w:t xml:space="preserve">ЛИСТ ПОДПИСЕЙ</w:t>
      </w:r>
    </w:p>
    <w:tbl>
      <w:tblPr>
        <w:tblW w:w="0" w:type="auto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900" w:type="dxa"/>
          </w:tcPr>
          <w:p>
            <w:pPr>
              <w:spacing w:before="0" w:after="25"/>
            </w:pPr>
            <w:r>
              <w:rPr>
                <w:b/>
              </w:rPr>
              <w:t xml:space="preserve">Роль</w:t>
            </w:r>
          </w:p>
        </w:tc>
        <w:tc>
          <w:tcPr>
            <w:tcW w:w="3000" w:type="dxa"/>
          </w:tcPr>
          <w:p>
            <w:pPr>
              <w:spacing w:before="0" w:after="25"/>
            </w:pPr>
            <w:r>
              <w:rPr>
                <w:b/>
              </w:rPr>
              <w:t xml:space="preserve">Должность, организация</w:t>
            </w:r>
          </w:p>
        </w:tc>
        <w:tc>
          <w:tcPr>
            <w:tcW w:w="3100" w:type="dxa"/>
          </w:tcPr>
          <w:p>
            <w:pPr>
              <w:spacing w:before="0" w:after="25"/>
            </w:pPr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1300" w:type="dxa"/>
          </w:tcPr>
          <w:p>
            <w:pPr>
              <w:spacing w:before="0" w:after="25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1900" w:type="dxa"/>
          </w:tcPr>
          <w:p>
            <w:pPr>
              <w:spacing w:before="0" w:after="25"/>
            </w:pPr>
            <w:r>
              <w:rPr/>
              <w:t xml:space="preserve">Разработчик ТЗ</w:t>
            </w:r>
          </w:p>
        </w:tc>
        <w:tc>
          <w:tcPr>
            <w:tcW w:w="3000" w:type="dxa"/>
          </w:tcPr>
          <w:p>
            <w:pPr>
              <w:spacing w:before="0" w:after="25"/>
            </w:pPr>
            <w:r>
              <w:rPr/>
              <w:t xml:space="preserve">[уточнить], ООО «тушканчик»</w:t>
            </w:r>
          </w:p>
        </w:tc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3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  <w:tr>
        <w:tc>
          <w:tcPr>
            <w:tcW w:w="1900" w:type="dxa"/>
          </w:tcPr>
          <w:p>
            <w:pPr>
              <w:spacing w:before="0" w:after="25"/>
            </w:pPr>
            <w:r>
              <w:rPr/>
              <w:t xml:space="preserve">Согласование: исполнитель СЧ ОКР</w:t>
            </w:r>
          </w:p>
        </w:tc>
        <w:tc>
          <w:tcPr>
            <w:tcW w:w="3000" w:type="dxa"/>
          </w:tcPr>
          <w:p>
            <w:pPr>
              <w:spacing w:before="0" w:after="25"/>
            </w:pPr>
            <w:r>
              <w:rPr/>
              <w:t xml:space="preserve">[уточнить], ООО «тушканчик»</w:t>
            </w:r>
          </w:p>
        </w:tc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3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  <w:tr>
        <w:tc>
          <w:tcPr>
            <w:tcW w:w="1900" w:type="dxa"/>
          </w:tcPr>
          <w:p>
            <w:pPr>
              <w:spacing w:before="0" w:after="25"/>
            </w:pPr>
            <w:r>
              <w:rPr/>
              <w:t xml:space="preserve">Согласование: другая организация</w:t>
            </w:r>
          </w:p>
        </w:tc>
        <w:tc>
          <w:tcPr>
            <w:tcW w:w="30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  <w:tc>
          <w:tcPr>
            <w:tcW w:w="3100" w:type="dxa"/>
          </w:tcPr>
          <w:p>
            <w:pPr>
              <w:spacing w:before="0" w:after="25"/>
            </w:pPr>
            <w:r>
              <w:rPr/>
              <w:t xml:space="preserve">____________ / [уточнить]</w:t>
            </w:r>
          </w:p>
        </w:tc>
        <w:tc>
          <w:tcPr>
            <w:tcW w:w="1300" w:type="dxa"/>
          </w:tcPr>
          <w:p>
            <w:pPr>
              <w:spacing w:before="0" w:after="25"/>
            </w:pPr>
            <w:r>
              <w:rPr/>
              <w:t xml:space="preserve">[уточнить]</w:t>
            </w:r>
          </w:p>
        </w:tc>
      </w:tr>
    </w:tbl>
    <w:p>
      <w:pPr>
        <w:jc w:val="center"/>
        <w:spacing w:before="240" w:after="80"/>
      </w:pPr>
      <w:r>
        <w:rPr/>
        <w:t xml:space="preserve">Конец документа.</w:t>
      </w:r>
    </w:p>
    <w:sectPr>
      <w:pgSz w:w="11906" w:h="16838"/>
      <w:pgMar w:top="1134" w:right="850" w:bottom="1134" w:left="1701" w:header="708" w:footer="708" w:gutter="0"/>
      <w:pgNumType w:fmt="decimal"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lang w:val="ru-RU"/>
      </w:rPr>
    </w:rPrDefault>
  </w:docDefaults>
  <w:style w:type="paragraph" w:default="1" w:styleId="Normal">
    <w:name w:val="Normal"/>
    <w:pPr>
      <w:spacing w:after="8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creator>ООО «тушканчик»</dc:creator>
  <dc:language>ru-RU</dc:language>
</cp:coreProperties>
</file>