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80" w:line="240" w:lineRule="auto"/>
      </w:pPr>
      <w:r>
        <w:t xml:space="preserve">ТЕХНИЧЕСКОЕ ЗАДАНИЕ</w:t>
      </w:r>
    </w:p>
    <w:p>
      <w:pPr>
        <w:spacing w:after="80" w:line="240" w:lineRule="auto"/>
      </w:pPr>
      <w:r>
        <w:t xml:space="preserve">на разработку сменной интерфейсной субплаты E2/E3
и функционального модуля PDH
для универсального базового модуля AMC семейства ДММП</w:t>
      </w:r>
    </w:p>
    <w:p>
      <w:pPr>
        <w:spacing w:after="80" w:line="240" w:lineRule="auto"/>
      </w:pPr>
      <w:r>
        <w:t xml:space="preserve">Составная часть опытно-конструкторской работы</w:t>
      </w:r>
    </w:p>
    <w:p>
      <w:pPr>
        <w:spacing w:after="80" w:line="240" w:lineRule="auto"/>
      </w:pPr>
      <w:r>
        <w:t xml:space="preserve">Шифр ОКР: «Развитие-ТСА»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9000" w:type="dxa"/>
      </w:tblPr>
      <w:tr>
        <w:tc>
          <w:tcPr>
            <w:shd w:fill="D9EAF7"/>
          </w:tcPr>
          <w:p>
            <w:r>
              <w:rPr>
                <w:b/>
              </w:rPr>
              <w:t xml:space="preserve">Рубрика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Организация / должность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Подпись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Дата</w:t>
            </w:r>
          </w:p>
        </w:tc>
      </w:tr>
      <w:tr>
        <w:tc>
          <w:tcPr/>
          <w:p>
            <w:r>
              <w:t xml:space="preserve">СОГЛАСОВАНО</w:t>
            </w:r>
          </w:p>
        </w:tc>
        <w:tc>
          <w:tcPr/>
          <w:p>
            <w:r>
              <w:t xml:space="preserve">Заказчик: [уточнить]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</w:tr>
      <w:tr>
        <w:tc>
          <w:tcPr/>
          <w:p>
            <w:r>
              <w:t xml:space="preserve">СОГЛАСОВАНО</w:t>
            </w:r>
          </w:p>
        </w:tc>
        <w:tc>
          <w:tcPr/>
          <w:p>
            <w:r>
              <w:t xml:space="preserve">Головной исполнитель ОКР: [уточнить]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</w:tr>
      <w:tr>
        <w:tc>
          <w:tcPr/>
          <w:p>
            <w:r>
              <w:t xml:space="preserve">УТВЕРЖДЕНО</w:t>
            </w:r>
          </w:p>
        </w:tc>
        <w:tc>
          <w:tcPr/>
          <w:p>
            <w:r>
              <w:t xml:space="preserve">Головной исполнитель ОКР: [уточнить]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</w:tr>
    </w:tbl>
    <w:p/>
    <w:p>
      <w:pPr>
        <w:spacing w:after="80" w:line="240" w:lineRule="auto"/>
      </w:pPr>
      <w:r>
        <w:t xml:space="preserve">Регистрационный номер: [уточнить]</w:t>
      </w:r>
    </w:p>
    <w:p>
      <w:pPr>
        <w:spacing w:after="80" w:line="240" w:lineRule="auto"/>
      </w:pPr>
      <w:r>
        <w:t xml:space="preserve">Основание: приказ об открытии инициативной ОКР № [уточнить] от [уточнить].</w:t>
      </w:r>
    </w:p>
    <w:p>
      <w:pPr>
        <w:spacing w:after="80" w:line="240" w:lineRule="auto"/>
      </w:pPr>
      <w:r>
        <w:t xml:space="preserve">Исполнитель: ООО «тушканчик» (условное наименование из исходных данных).</w:t>
      </w:r>
    </w:p>
    <w:p>
      <w:pPr>
        <w:spacing w:after="80" w:line="240" w:lineRule="auto"/>
      </w:pPr>
      <w:r>
        <w:t xml:space="preserve">Место и год разработки: [уточнить]</w:t>
      </w:r>
    </w:p>
    <w:p>
      <w:r>
        <w:br w:type="page"/>
      </w:r>
    </w:p>
    <w:p>
      <w:pPr>
        <w:keepNext/>
        <w:spacing w:before="180" w:after="80"/>
      </w:pPr>
      <w:r>
        <w:rPr>
          <w:b/>
        </w:rPr>
        <w:t xml:space="preserve">Лист согласования</w:t>
      </w:r>
    </w:p>
    <w:p>
      <w:pPr>
        <w:spacing w:after="80" w:line="240" w:lineRule="auto"/>
      </w:pPr>
      <w:r>
        <w:t xml:space="preserve">ТЗ на составную часть ОКР согласовывается и утверждается в порядке, установленном для ТЗ на СЧ ОКР. Срок рассмотрения и согласования проекта ТЗ — не более 15 рабочих дней с момента получения (ГОСТ 15.016-2016, 7.2.5).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9000" w:type="dxa"/>
      </w:tblPr>
      <w:tr>
        <w:tc>
          <w:tcPr>
            <w:shd w:fill="D9EAF7"/>
          </w:tcPr>
          <w:p>
            <w:r>
              <w:rPr>
                <w:b/>
              </w:rPr>
              <w:t xml:space="preserve">Организация / должностное лицо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Решение / подпись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Дата</w:t>
            </w:r>
          </w:p>
        </w:tc>
      </w:tr>
      <w:tr>
        <w:tc>
          <w:tcPr/>
          <w:p>
            <w:r>
              <w:t xml:space="preserve">Заказчик либо НИО заказчика: [уточнить]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</w:tr>
      <w:tr>
        <w:tc>
          <w:tcPr/>
          <w:p>
            <w:r>
              <w:t xml:space="preserve">Исполнитель СЧ ОКР: ООО «тушканчик»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</w:tr>
      <w:tr>
        <w:tc>
          <w:tcPr/>
          <w:p>
            <w:r>
              <w:t xml:space="preserve">Другие согласующие организации: [уточнить при необходимости]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</w:tr>
    </w:tbl>
    <w:p/>
    <w:p>
      <w:pPr>
        <w:keepNext/>
        <w:spacing w:before="180" w:after="80"/>
      </w:pPr>
      <w:r>
        <w:rPr>
          <w:b/>
        </w:rPr>
        <w:t xml:space="preserve">Обозначения, сокращения и термины</w:t>
      </w:r>
    </w:p>
    <w:p>
      <w:pPr>
        <w:spacing w:after="80" w:line="240" w:lineRule="auto"/>
      </w:pPr>
      <w:r>
        <w:t xml:space="preserve">Расшифровки и значения приведены только по исходным материалам. Для обозначений, полное наименование которых отсутствует, оставлен адресный маркер уточнения.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9000" w:type="dxa"/>
      </w:tblPr>
      <w:tr>
        <w:tc>
          <w:tcPr>
            <w:shd w:fill="D9EAF7"/>
          </w:tcPr>
          <w:p>
            <w:r>
              <w:rPr>
                <w:b/>
              </w:rPr>
              <w:t xml:space="preserve">Обозначение / термин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Расшифровка или значение</w:t>
            </w:r>
          </w:p>
        </w:tc>
      </w:tr>
      <w:tr>
        <w:tc>
          <w:tcPr/>
          <w:p>
            <w:r>
              <w:t xml:space="preserve">ТЗ</w:t>
            </w:r>
          </w:p>
        </w:tc>
        <w:tc>
          <w:tcPr/>
          <w:p>
            <w:r>
              <w:t xml:space="preserve">техническое задание</w:t>
            </w:r>
          </w:p>
        </w:tc>
      </w:tr>
      <w:tr>
        <w:tc>
          <w:tcPr/>
          <w:p>
            <w:r>
              <w:t xml:space="preserve">СЧ</w:t>
            </w:r>
          </w:p>
        </w:tc>
        <w:tc>
          <w:tcPr/>
          <w:p>
            <w:r>
              <w:t xml:space="preserve">составная часть</w:t>
            </w:r>
          </w:p>
        </w:tc>
      </w:tr>
      <w:tr>
        <w:tc>
          <w:tcPr/>
          <w:p>
            <w:r>
              <w:t xml:space="preserve">ОКР</w:t>
            </w:r>
          </w:p>
        </w:tc>
        <w:tc>
          <w:tcPr/>
          <w:p>
            <w:r>
              <w:t xml:space="preserve">опытно-конструкторская работа</w:t>
            </w:r>
          </w:p>
        </w:tc>
      </w:tr>
      <w:tr>
        <w:tc>
          <w:tcPr/>
          <w:p>
            <w:r>
              <w:t xml:space="preserve">РКД</w:t>
            </w:r>
          </w:p>
        </w:tc>
        <w:tc>
          <w:tcPr/>
          <w:p>
            <w:r>
              <w:t xml:space="preserve">рабочая конструкторская документация</w:t>
            </w:r>
          </w:p>
        </w:tc>
      </w:tr>
      <w:tr>
        <w:tc>
          <w:tcPr/>
          <w:p>
            <w:r>
              <w:t xml:space="preserve">ПМИ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AMC</w:t>
            </w:r>
          </w:p>
        </w:tc>
        <w:tc>
          <w:tcPr/>
          <w:p>
            <w:r>
              <w:t xml:space="preserve">[уточнить расшифровку; в ТЗ — форм-фактор/платформа изделия]</w:t>
            </w:r>
          </w:p>
        </w:tc>
      </w:tr>
      <w:tr>
        <w:tc>
          <w:tcPr/>
          <w:p>
            <w:r>
              <w:t xml:space="preserve">ПЛИС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B2B</w:t>
            </w:r>
          </w:p>
        </w:tc>
        <w:tc>
          <w:tcPr/>
          <w:p>
            <w:r>
              <w:t xml:space="preserve">[уточнить расшифровку; межплатный интерфейс]</w:t>
            </w:r>
          </w:p>
        </w:tc>
      </w:tr>
      <w:tr>
        <w:tc>
          <w:tcPr/>
          <w:p>
            <w:r>
              <w:t xml:space="preserve">Board ID</w:t>
            </w:r>
          </w:p>
        </w:tc>
        <w:tc>
          <w:tcPr/>
          <w:p>
            <w:r>
              <w:t xml:space="preserve">идентификатор платы</w:t>
            </w:r>
          </w:p>
        </w:tc>
      </w:tr>
      <w:tr>
        <w:tc>
          <w:tcPr/>
          <w:p>
            <w:r>
              <w:t xml:space="preserve">MMC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РМО</w:t>
            </w:r>
          </w:p>
        </w:tc>
        <w:tc>
          <w:tcPr/>
          <w:p>
            <w:r>
              <w:t xml:space="preserve">[уточнить расшифровку; рабочее место оператора]</w:t>
            </w:r>
          </w:p>
        </w:tc>
      </w:tr>
      <w:tr>
        <w:tc>
          <w:tcPr/>
          <w:p>
            <w:r>
              <w:t xml:space="preserve">PDH</w:t>
            </w:r>
          </w:p>
        </w:tc>
        <w:tc>
          <w:tcPr/>
          <w:p>
            <w:r>
              <w:t xml:space="preserve">функциональный модуль PDH; расшифровка не задана</w:t>
            </w:r>
          </w:p>
        </w:tc>
      </w:tr>
      <w:tr>
        <w:tc>
          <w:tcPr/>
          <w:p>
            <w:r>
              <w:t xml:space="preserve">TDM-over-Packet</w:t>
            </w:r>
          </w:p>
        </w:tc>
        <w:tc>
          <w:tcPr/>
          <w:p>
            <w:r>
              <w:t xml:space="preserve">передача TDM по пакетной сети</w:t>
            </w:r>
          </w:p>
        </w:tc>
      </w:tr>
      <w:tr>
        <w:tc>
          <w:tcPr/>
          <w:p>
            <w:r>
              <w:t xml:space="preserve">E2, E3</w:t>
            </w:r>
          </w:p>
        </w:tc>
        <w:tc>
          <w:tcPr/>
          <w:p>
            <w:r>
              <w:t xml:space="preserve">потоки/интерфейсы E2 и E3</w:t>
            </w:r>
          </w:p>
        </w:tc>
      </w:tr>
      <w:tr>
        <w:tc>
          <w:tcPr/>
          <w:p>
            <w:r>
              <w:t xml:space="preserve">TX/RX</w:t>
            </w:r>
          </w:p>
        </w:tc>
        <w:tc>
          <w:tcPr/>
          <w:p>
            <w:r>
              <w:t xml:space="preserve">цепи передачи / приема</w:t>
            </w:r>
          </w:p>
        </w:tc>
      </w:tr>
      <w:tr>
        <w:tc>
          <w:tcPr/>
          <w:p>
            <w:r>
              <w:t xml:space="preserve">LIU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EEPROM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SAToP</w:t>
            </w:r>
          </w:p>
        </w:tc>
        <w:tc>
          <w:tcPr/>
          <w:p>
            <w:r>
              <w:t xml:space="preserve">режим передачи полного потока E3 по RFC 4553</w:t>
            </w:r>
          </w:p>
        </w:tc>
      </w:tr>
      <w:tr>
        <w:tc>
          <w:tcPr/>
          <w:p>
            <w:r>
              <w:t xml:space="preserve">E2oP</w:t>
            </w:r>
          </w:p>
        </w:tc>
        <w:tc>
          <w:tcPr/>
          <w:p>
            <w:r>
              <w:t xml:space="preserve">режим передачи полного потока E2 на архитектуре SAToP</w:t>
            </w:r>
          </w:p>
        </w:tc>
      </w:tr>
      <w:tr>
        <w:tc>
          <w:tcPr/>
          <w:p>
            <w:r>
              <w:t xml:space="preserve">QoS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AIS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LOS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BPV/CV</w:t>
            </w:r>
          </w:p>
        </w:tc>
        <w:tc>
          <w:tcPr/>
          <w:p>
            <w:r>
              <w:t xml:space="preserve">контроль BPV/CV HDB3; расшифровка не задана</w:t>
            </w:r>
          </w:p>
        </w:tc>
      </w:tr>
      <w:tr>
        <w:tc>
          <w:tcPr/>
          <w:p>
            <w:r>
              <w:t xml:space="preserve">DPLL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PRBS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BER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MIB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HDB3</w:t>
            </w:r>
          </w:p>
        </w:tc>
        <w:tc>
          <w:tcPr/>
          <w:p>
            <w:r>
              <w:t xml:space="preserve">код HDB3</w:t>
            </w:r>
          </w:p>
        </w:tc>
      </w:tr>
      <w:tr>
        <w:tc>
          <w:tcPr/>
          <w:p>
            <w:r>
              <w:t xml:space="preserve">ESD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MTBF</w:t>
            </w:r>
          </w:p>
        </w:tc>
        <w:tc>
          <w:tcPr/>
          <w:p>
            <w:r>
              <w:t xml:space="preserve">[уточнить расшифровку]</w:t>
            </w:r>
          </w:p>
        </w:tc>
      </w:tr>
      <w:tr>
        <w:tc>
          <w:tcPr/>
          <w:p>
            <w:r>
              <w:t xml:space="preserve">BNC</w:t>
            </w:r>
          </w:p>
        </w:tc>
        <w:tc>
          <w:tcPr/>
          <w:p>
            <w:r>
              <w:t xml:space="preserve">разъем BNC</w:t>
            </w:r>
          </w:p>
        </w:tc>
      </w:tr>
      <w:tr>
        <w:tc>
          <w:tcPr/>
          <w:p>
            <w:r>
              <w:t xml:space="preserve">DIN 1.0/2.3</w:t>
            </w:r>
          </w:p>
        </w:tc>
        <w:tc>
          <w:tcPr/>
          <w:p>
            <w:r>
              <w:t xml:space="preserve">тип соединителя</w:t>
            </w:r>
          </w:p>
        </w:tc>
      </w:tr>
    </w:tbl>
    <w:p/>
    <w:p>
      <w:pPr>
        <w:keepNext/>
        <w:spacing w:before="180" w:after="80"/>
      </w:pPr>
      <w:r>
        <w:rPr>
          <w:b/>
        </w:rPr>
        <w:t xml:space="preserve">Перечень применимых нормативных и справочных документов</w:t>
      </w:r>
    </w:p>
    <w:p>
      <w:pPr>
        <w:spacing w:after="80" w:line="240" w:lineRule="auto"/>
      </w:pPr>
      <w:r>
        <w:t xml:space="preserve">В ТЗ применяются следующие документы и обозначения, заданные исходными материалами:</w:t>
      </w:r>
    </w:p>
    <w:p>
      <w:pPr>
        <w:numPr>
          <w:ilvl w:val="0"/>
          <w:numId w:val="1"/>
        </w:numPr>
      </w:pPr>
      <w:r>
        <w:t xml:space="preserve">ГОСТ 15.016-2016 (требования к ТЗ на СЧ ОКР применяются по разделам 6.1, 6.2 и 7.1)</w:t>
      </w:r>
    </w:p>
    <w:p>
      <w:pPr>
        <w:numPr>
          <w:ilvl w:val="0"/>
          <w:numId w:val="1"/>
        </w:numPr>
      </w:pPr>
      <w:r>
        <w:t xml:space="preserve">ITU-T G.703</w:t>
      </w:r>
    </w:p>
    <w:p>
      <w:pPr>
        <w:numPr>
          <w:ilvl w:val="0"/>
          <w:numId w:val="1"/>
        </w:numPr>
      </w:pPr>
      <w:r>
        <w:t xml:space="preserve">ITU-T G.704</w:t>
      </w:r>
    </w:p>
    <w:p>
      <w:pPr>
        <w:numPr>
          <w:ilvl w:val="0"/>
          <w:numId w:val="1"/>
        </w:numPr>
      </w:pPr>
      <w:r>
        <w:t xml:space="preserve">ITU-T G.751</w:t>
      </w:r>
    </w:p>
    <w:p>
      <w:pPr>
        <w:numPr>
          <w:ilvl w:val="0"/>
          <w:numId w:val="1"/>
        </w:numPr>
      </w:pPr>
      <w:r>
        <w:t xml:space="preserve">ITU-T G.823</w:t>
      </w:r>
    </w:p>
    <w:p>
      <w:pPr>
        <w:numPr>
          <w:ilvl w:val="0"/>
          <w:numId w:val="1"/>
        </w:numPr>
      </w:pPr>
      <w:r>
        <w:t xml:space="preserve">RFC 4553</w:t>
      </w:r>
    </w:p>
    <w:p>
      <w:pPr>
        <w:numPr>
          <w:ilvl w:val="0"/>
          <w:numId w:val="1"/>
        </w:numPr>
      </w:pPr>
      <w:r>
        <w:t xml:space="preserve">PICMG AMC.0 R2.0</w:t>
      </w:r>
    </w:p>
    <w:p>
      <w:pPr>
        <w:numPr>
          <w:ilvl w:val="0"/>
          <w:numId w:val="1"/>
        </w:numPr>
      </w:pPr>
      <w:r>
        <w:t xml:space="preserve">ГОСТ РВ 20.39.304-98</w:t>
      </w:r>
    </w:p>
    <w:p>
      <w:pPr>
        <w:numPr>
          <w:ilvl w:val="0"/>
          <w:numId w:val="1"/>
        </w:numPr>
      </w:pPr>
      <w:r>
        <w:t xml:space="preserve">ГОСТ В 25803-91</w:t>
      </w:r>
    </w:p>
    <w:p>
      <w:pPr>
        <w:numPr>
          <w:ilvl w:val="0"/>
          <w:numId w:val="1"/>
        </w:numPr>
      </w:pPr>
      <w:r>
        <w:t xml:space="preserve">ГОСТ 2.114-2016</w:t>
      </w:r>
    </w:p>
    <w:p>
      <w:pPr>
        <w:numPr>
          <w:ilvl w:val="0"/>
          <w:numId w:val="1"/>
        </w:numPr>
      </w:pPr>
      <w:r>
        <w:t xml:space="preserve">ГОСТ РВ 15.201-2003</w:t>
      </w:r>
    </w:p>
    <w:p>
      <w:pPr>
        <w:numPr>
          <w:ilvl w:val="0"/>
          <w:numId w:val="1"/>
        </w:numPr>
      </w:pPr>
      <w:r>
        <w:t xml:space="preserve">ГОСТ 15150</w:t>
      </w:r>
    </w:p>
    <w:p>
      <w:pPr>
        <w:spacing w:after="80" w:line="240" w:lineRule="auto"/>
      </w:pPr>
      <w:r>
        <w:t xml:space="preserve">Наименования документов, кроме ГОСТ 15.016-2016, в исходных материалах не приведены и не воспроизводятся по внешним источникам.</w:t>
      </w:r>
    </w:p>
    <w:p>
      <w:pPr>
        <w:keepNext/>
        <w:spacing w:before="180" w:after="80"/>
      </w:pPr>
      <w:r>
        <w:rPr>
          <w:b/>
        </w:rPr>
        <w:t xml:space="preserve">1 Наименование, шифр, основание, исполнители и сроки ОКР</w:t>
      </w:r>
    </w:p>
    <w:p>
      <w:pPr>
        <w:spacing w:after="80" w:line="240" w:lineRule="auto"/>
      </w:pPr>
      <w:r>
        <w:t xml:space="preserve">1.1. Наименование работы: разработка сменной интерфейсной субплаты E2/E3 и функционального модуля PDH для универсального базового модуля AMC семейства ДММП.</w:t>
      </w:r>
    </w:p>
    <w:p>
      <w:pPr>
        <w:spacing w:after="80" w:line="240" w:lineRule="auto"/>
      </w:pPr>
      <w:r>
        <w:t xml:space="preserve">1.2. Шифр ОКР — «Развитие-ТСА».</w:t>
      </w:r>
    </w:p>
    <w:p>
      <w:pPr>
        <w:spacing w:after="80" w:line="240" w:lineRule="auto"/>
      </w:pPr>
      <w:r>
        <w:t xml:space="preserve">1.3. Основание — приказ об открытии инициативной ОКР № [уточнить] от [уточнить].</w:t>
      </w:r>
    </w:p>
    <w:p>
      <w:pPr>
        <w:spacing w:after="80" w:line="240" w:lineRule="auto"/>
      </w:pPr>
      <w:r>
        <w:t xml:space="preserve">1.4. Исполнитель — ООО «тушканчик» (условное наименование из исходных данных).</w:t>
      </w:r>
    </w:p>
    <w:p>
      <w:pPr>
        <w:spacing w:after="80" w:line="240" w:lineRule="auto"/>
      </w:pPr>
      <w:r>
        <w:t xml:space="preserve">1.5. Сроки выполнения устанавливаются в соответствии с утверждённым планом-графиком разработки РКД, программной документации, изготовления образцов и испытаний. Даты и номер плана-графика — [уточнить].</w:t>
      </w:r>
    </w:p>
    <w:p>
      <w:pPr>
        <w:spacing w:after="80" w:line="240" w:lineRule="auto"/>
      </w:pPr>
      <w:r>
        <w:t xml:space="preserve">Проверка: Проверить наличие приказа, исполнителя и утверждённого плана-графика; подтвердить даты выполнения РКД, программной документации, изготовления образцов и испытаний.</w:t>
      </w:r>
    </w:p>
    <w:p>
      <w:pPr>
        <w:keepNext/>
        <w:spacing w:before="180" w:after="80"/>
      </w:pPr>
      <w:r>
        <w:rPr>
          <w:b/>
        </w:rPr>
        <w:t xml:space="preserve">2 Цель выполнения, наименование, назначение и область применения изделия</w:t>
      </w:r>
    </w:p>
    <w:p>
      <w:pPr>
        <w:spacing w:after="80" w:line="240" w:lineRule="auto"/>
      </w:pPr>
      <w:r>
        <w:t xml:space="preserve">2.1. Цель — подключить два независимых потока E2 и один поток E3 к платформе ДММП через коаксиальные линии, обеспечить TDM-over-Packet, джиттер-буферизацию и синхронизацию.</w:t>
      </w:r>
    </w:p>
    <w:p>
      <w:pPr>
        <w:spacing w:after="80" w:line="240" w:lineRule="auto"/>
      </w:pPr>
      <w:r>
        <w:t xml:space="preserve">2.2. Изделие включает аппаратную часть — сменную интерфейсную субплату E2/E3 с интерфейсами, защитой, трансиверами и EEPROM — и логическую часть — функциональный модуль ПЛИС базовой платы, автоматически активируемый по Board ID.</w:t>
      </w:r>
    </w:p>
    <w:p>
      <w:pPr>
        <w:spacing w:after="80" w:line="240" w:lineRule="auto"/>
      </w:pPr>
      <w:r>
        <w:t xml:space="preserve">2.3. Субплата устанавливается в AMC базовой платы/Carrier платформы ДММП.</w:t>
      </w:r>
    </w:p>
    <w:p>
      <w:pPr>
        <w:spacing w:after="80" w:line="240" w:lineRule="auto"/>
      </w:pPr>
      <w:r>
        <w:t xml:space="preserve">2.4. Область применения — PDH-тракты 8 и 34 Мбит/с энергетики, железнодорожного транспорта и магистральных операторов.</w:t>
      </w:r>
    </w:p>
    <w:p>
      <w:pPr>
        <w:spacing w:after="80" w:line="240" w:lineRule="auto"/>
      </w:pPr>
      <w:r>
        <w:t xml:space="preserve">Проверка: Проверить состав изделия, распознавание Board ID и автоматическую активацию функционального модуля ПЛИС; проверить подключение к Carrier и передачу двух E2 и одного E3.</w:t>
      </w:r>
    </w:p>
    <w:p>
      <w:pPr>
        <w:keepNext/>
        <w:spacing w:before="180" w:after="80"/>
      </w:pPr>
      <w:r>
        <w:rPr>
          <w:b/>
        </w:rPr>
        <w:t xml:space="preserve">3 Технические требования к изделию</w:t>
      </w:r>
    </w:p>
    <w:p>
      <w:pPr>
        <w:keepNext/>
        <w:spacing w:before="180" w:after="80"/>
      </w:pPr>
      <w:r>
        <w:rPr>
          <w:b/>
        </w:rPr>
        <w:t xml:space="preserve">3.1 Архитектура, разъёмы и кабели</w:t>
      </w:r>
    </w:p>
    <w:p>
      <w:pPr>
        <w:spacing w:after="80" w:line="240" w:lineRule="auto"/>
      </w:pPr>
      <w:r>
        <w:t xml:space="preserve">3.1.1. Субплата должна подключаться через B2B и иметь три экранированных вибростойких разъёма HARTING PushPull 09452812560 с замковой фиксацией, тракты 75 Ом, ВЧ-трансформаторы, LIU, EEPROM Board ID 0x03 и светодиоды.</w:t>
      </w:r>
    </w:p>
    <w:p>
      <w:pPr>
        <w:spacing w:after="80" w:line="240" w:lineRule="auto"/>
      </w:pPr>
      <w:r>
        <w:t xml:space="preserve">3.1.2. Базовая плата должна предоставлять субплате +12 В, +3,3 В, MMC и тактирование, а также автоматически загружать bitstream PDH из Flash.</w:t>
      </w:r>
    </w:p>
    <w:p>
      <w:pPr>
        <w:spacing w:after="80" w:line="240" w:lineRule="auto"/>
      </w:pPr>
      <w:r>
        <w:t xml:space="preserve">3.1.3. E2-1, E2-2 и E3-1 должны иметь отдельные TX/RX коаксиальные цепи 75 Ом; каждый разъём обслуживает отдельные цепи передачи и приема.</w:t>
      </w:r>
    </w:p>
    <w:p>
      <w:pPr>
        <w:spacing w:after="80" w:line="240" w:lineRule="auto"/>
      </w:pPr>
      <w:r>
        <w:t xml:space="preserve">3.1.4. В комплект поставки и РКД должны входить экранированные адаптеры HARTING PushPull → две вилки BNC 75 Ом / DIN 1.0/2.3 с маркировкой TX/RX. Применение BNC 50 Ом запрещено по импедансу и габаритам.</w:t>
      </w:r>
    </w:p>
    <w:p>
      <w:pPr>
        <w:spacing w:after="80" w:line="240" w:lineRule="auto"/>
      </w:pPr>
      <w:r>
        <w:t xml:space="preserve">Проверка: Проверить количество, тип, фиксацию, направление TX/RX, импеданс и наличие адаптеров; проверить Board ID 0x03, питание, MMC, тактирование и загрузку bitstream PDH.</w:t>
      </w:r>
    </w:p>
    <w:p>
      <w:pPr>
        <w:keepNext/>
        <w:spacing w:before="180" w:after="80"/>
      </w:pPr>
      <w:r>
        <w:rPr>
          <w:b/>
        </w:rPr>
        <w:t xml:space="preserve">3.2 Электрические параметры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9000" w:type="dxa"/>
      </w:tblPr>
      <w:tr>
        <w:tc>
          <w:tcPr>
            <w:shd w:fill="D9EAF7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E2 (два порта)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E3 (один порт)</w:t>
            </w:r>
          </w:p>
        </w:tc>
      </w:tr>
      <w:tr>
        <w:tc>
          <w:tcPr/>
          <w:p>
            <w:r>
              <w:t xml:space="preserve">Скорость</w:t>
            </w:r>
          </w:p>
        </w:tc>
        <w:tc>
          <w:tcPr/>
          <w:p>
            <w:r>
              <w:t xml:space="preserve">8448 кбит/с (8,448 Мбит/с) ±30 ppm</w:t>
            </w:r>
          </w:p>
        </w:tc>
        <w:tc>
          <w:tcPr/>
          <w:p>
            <w:r>
              <w:t xml:space="preserve">34 368 кбит/с (34,368 Мбит/с) ±20 ppm</w:t>
            </w:r>
          </w:p>
        </w:tc>
      </w:tr>
      <w:tr>
        <w:tc>
          <w:tcPr/>
          <w:p>
            <w:r>
              <w:t xml:space="preserve">Код и сопротивление</w:t>
            </w:r>
          </w:p>
        </w:tc>
        <w:tc>
          <w:tcPr/>
          <w:p>
            <w:r>
              <w:t xml:space="preserve">HDB3, 75 Ом</w:t>
            </w:r>
          </w:p>
        </w:tc>
        <w:tc>
          <w:tcPr/>
          <w:p>
            <w:r>
              <w:t xml:space="preserve">HDB3, 75 Ом</w:t>
            </w:r>
          </w:p>
        </w:tc>
      </w:tr>
      <w:tr>
        <w:tc>
          <w:tcPr/>
          <w:p>
            <w:r>
              <w:t xml:space="preserve">Пиковое напряжение / длительность</w:t>
            </w:r>
          </w:p>
        </w:tc>
        <w:tc>
          <w:tcPr/>
          <w:p>
            <w:r>
              <w:t xml:space="preserve">2,37 В / 59 нс</w:t>
            </w:r>
          </w:p>
        </w:tc>
        <w:tc>
          <w:tcPr/>
          <w:p>
            <w:r>
              <w:t xml:space="preserve">1,0 В / 14,55 нс</w:t>
            </w:r>
          </w:p>
        </w:tc>
      </w:tr>
      <w:tr>
        <w:tc>
          <w:tcPr/>
          <w:p>
            <w:r>
              <w:t xml:space="preserve">Возвратные потери входа/выхода</w:t>
            </w:r>
          </w:p>
        </w:tc>
        <w:tc>
          <w:tcPr/>
          <w:p>
            <w:r>
              <w:t xml:space="preserve">≥18 дБ, 422–8448 кГц</w:t>
            </w:r>
          </w:p>
        </w:tc>
        <w:tc>
          <w:tcPr/>
          <w:p>
            <w:r>
              <w:t xml:space="preserve">≥18 дБ, 1720–34 368 кГц</w:t>
            </w:r>
          </w:p>
        </w:tc>
      </w:tr>
      <w:tr>
        <w:tc>
          <w:tcPr/>
          <w:p>
            <w:r>
              <w:t xml:space="preserve">Допустимое затухание кабеля</w:t>
            </w:r>
          </w:p>
        </w:tc>
        <w:tc>
          <w:tcPr/>
          <w:p>
            <w:r>
              <w:t xml:space="preserve">до 6 дБ на 4224 кГц</w:t>
            </w:r>
          </w:p>
        </w:tc>
        <w:tc>
          <w:tcPr/>
          <w:p>
            <w:r>
              <w:t xml:space="preserve">до 12 дБ на 17 184 кГц</w:t>
            </w:r>
          </w:p>
        </w:tc>
      </w:tr>
    </w:tbl>
    <w:p/>
    <w:p>
      <w:pPr>
        <w:spacing w:after="80" w:line="240" w:lineRule="auto"/>
      </w:pPr>
      <w:r>
        <w:t xml:space="preserve">3.2.1. Для каждого порта предусмотреть трансформаторную гальваноразвязку и импульсную защиту.</w:t>
      </w:r>
    </w:p>
    <w:p>
      <w:pPr>
        <w:spacing w:after="80" w:line="240" w:lineRule="auto"/>
      </w:pPr>
      <w:r>
        <w:t xml:space="preserve">3.2.2. Структура E2 должна соответствовать G.704, структура E3 — G.751; электрические параметры должны соответствовать G.703.</w:t>
      </w:r>
    </w:p>
    <w:p>
      <w:pPr>
        <w:spacing w:after="80" w:line="240" w:lineRule="auto"/>
      </w:pPr>
      <w:r>
        <w:t xml:space="preserve">Проверка: Измерить скорость, код, сопротивление, пиковое напряжение, длительность, возвратные потери и затухание кабеля для E2 и E3 в указанных условиях. Методики измерения формы и амплитуды импульсов и возвратных потерь задаются по G.703; допуски измерений, не заданные исходными материалами, требуют уточнения.</w:t>
      </w:r>
    </w:p>
    <w:p>
      <w:pPr>
        <w:keepNext/>
        <w:spacing w:before="180" w:after="80"/>
      </w:pPr>
      <w:r>
        <w:rPr>
          <w:b/>
        </w:rPr>
        <w:t xml:space="preserve">3.3 Пакетная передача, синхронизация и диагностика</w:t>
      </w:r>
    </w:p>
    <w:p>
      <w:pPr>
        <w:spacing w:after="80" w:line="240" w:lineRule="auto"/>
      </w:pPr>
      <w:r>
        <w:t xml:space="preserve">3.3.1. E3 должен передаваться в режиме SAToP по RFC 4553 как полный поток с управляющим словом и контролем последовательности.</w:t>
      </w:r>
    </w:p>
    <w:p>
      <w:pPr>
        <w:spacing w:after="80" w:line="240" w:lineRule="auto"/>
      </w:pPr>
      <w:r>
        <w:t xml:space="preserve">3.3.2. E2 должен передаваться как E2oP на архитектуре SAToP как полный поток с минимальной фиксированной задержкой.</w:t>
      </w:r>
    </w:p>
    <w:p>
      <w:pPr>
        <w:spacing w:after="80" w:line="240" w:lineRule="auto"/>
      </w:pPr>
      <w:r>
        <w:t xml:space="preserve">3.3.3. Обмен выполнять по Fabric 10GbE с QoS Strict Priority; для каждого сервиса предусмотреть джиттер-буфер 1–64 мс.</w:t>
      </w:r>
    </w:p>
    <w:p>
      <w:pPr>
        <w:spacing w:after="80" w:line="240" w:lineRule="auto"/>
      </w:pPr>
      <w:r>
        <w:t xml:space="preserve">3.3.4. При потере пакетов или аварии сети на выходе должен непрерывно формироваться AIS.</w:t>
      </w:r>
    </w:p>
    <w:p>
      <w:pPr>
        <w:spacing w:after="80" w:line="240" w:lineRule="auto"/>
      </w:pPr>
      <w:r>
        <w:t xml:space="preserve">3.3.5. Предусмотреть пересчёт TCLK 19,44 МГц в 8,448/34,368 МГц, режимы ACR/DCR, Holdover и Loop timing. Частоту любого входного порта выдавать в RX_CLK; ПЛИС/DPLL базовой платы должна преобразовывать её в 19,44 МГц для TCLK. Джиттер и вандер должны соответствовать G.823.</w:t>
      </w:r>
    </w:p>
    <w:p>
      <w:pPr>
        <w:spacing w:after="80" w:line="240" w:lineRule="auto"/>
      </w:pPr>
      <w:r>
        <w:t xml:space="preserve">3.3.6. Для каждого порта предусмотреть контроль LOS, AIS, BPV/CV HDB3 и переполнения/опустошения буфера.</w:t>
      </w:r>
    </w:p>
    <w:p>
      <w:pPr>
        <w:spacing w:after="80" w:line="240" w:lineRule="auto"/>
      </w:pPr>
      <w:r>
        <w:t xml:space="preserve">3.3.7. Для каждого порта предусмотреть Local Line, Payload и Packet Loopback, а также генератор/анализатор PRBS 2^23−1 для измерения BER.</w:t>
      </w:r>
    </w:p>
    <w:p>
      <w:pPr>
        <w:spacing w:after="80" w:line="240" w:lineRule="auto"/>
      </w:pPr>
      <w:r>
        <w:t xml:space="preserve">Проверка: Проверить режимы SAToP/E2oP, управляющее слово и контроль последовательности E3, фиксированную задержку E2, Strict Priority, диапазон буфера 1–64 мс, непрерывный AIS при потере пакетов/аварии сети, источники и переходы синхронизации, RX_CLK, контроль аварий и все виды loopback/PRBS. Проверка джиттера/вандера — по G.823; численные критерии BER и времени реакции, не заданные исходными материалами, требуют уточнения.</w:t>
      </w:r>
    </w:p>
    <w:p>
      <w:pPr>
        <w:keepNext/>
        <w:spacing w:before="180" w:after="80"/>
      </w:pPr>
      <w:r>
        <w:rPr>
          <w:b/>
        </w:rPr>
        <w:t xml:space="preserve">3.4 Мощность, конструкция, стойкость и надёжность</w:t>
      </w:r>
    </w:p>
    <w:p>
      <w:pPr>
        <w:spacing w:after="80" w:line="240" w:lineRule="auto"/>
      </w:pPr>
      <w:r>
        <w:t xml:space="preserve">3.4.1. Потребляемая мощность субплаты — не более 15 Вт; потребляемая мощность сборки — не более 35 Вт.</w:t>
      </w:r>
    </w:p>
    <w:p>
      <w:pPr>
        <w:spacing w:after="80" w:line="240" w:lineRule="auto"/>
      </w:pPr>
      <w:r>
        <w:t xml:space="preserve">3.4.2. Конструкция — Single Full-size AMC.0, габариты 73,5 × 180,6 × 28,95 мм; межплатное крепление — на 4–6 металлических стойках М2,5.</w:t>
      </w:r>
    </w:p>
    <w:p>
      <w:pPr>
        <w:spacing w:after="80" w:line="240" w:lineRule="auto"/>
      </w:pPr>
      <w:r>
        <w:t xml:space="preserve">3.4.3. Стойкость — по ГОСТ РВ 20.39.304-98, группы 1.1, 1.3, 1.4.1, исполнение «О»; рабочая температура −10…+50 °C, предельная −40…+65 °C, синусоидальная вибрация 5g, удары 15g.</w:t>
      </w:r>
    </w:p>
    <w:p>
      <w:pPr>
        <w:spacing w:after="80" w:line="240" w:lineRule="auto"/>
      </w:pPr>
      <w:r>
        <w:t xml:space="preserve">3.4.4. Радиопомехи — группа 1.1.1 ГОСТ В 25803-91.</w:t>
      </w:r>
    </w:p>
    <w:p>
      <w:pPr>
        <w:spacing w:after="80" w:line="240" w:lineRule="auto"/>
      </w:pPr>
      <w:r>
        <w:t xml:space="preserve">3.4.5. MTBF — не менее 15 000 ч; назначенный срок службы — не менее 5 лет.</w:t>
      </w:r>
    </w:p>
    <w:p>
      <w:pPr>
        <w:spacing w:after="80" w:line="240" w:lineRule="auto"/>
      </w:pPr>
      <w:r>
        <w:t xml:space="preserve">Проверка: Проверить мощность субплаты и сборки измерением; габариты и крепление — осмотром/измерением; стойкость и радиопомехи — испытаниями по указанным группам и документам. Метод оценки MTBF и условия подтверждения срока службы — [уточнить].</w:t>
      </w:r>
    </w:p>
    <w:p>
      <w:pPr>
        <w:keepNext/>
        <w:spacing w:before="180" w:after="80"/>
      </w:pPr>
      <w:r>
        <w:rPr>
          <w:b/>
        </w:rPr>
        <w:t xml:space="preserve">4 Технико-экономические требования</w:t>
      </w:r>
    </w:p>
    <w:p>
      <w:pPr>
        <w:spacing w:after="80" w:line="240" w:lineRule="auto"/>
      </w:pPr>
      <w:r>
        <w:t xml:space="preserve">4.1. Технико-экономические требования к изделию не предъявляются.</w:t>
      </w:r>
    </w:p>
    <w:p>
      <w:pPr>
        <w:spacing w:after="80" w:line="240" w:lineRule="auto"/>
      </w:pPr>
      <w:r>
        <w:t xml:space="preserve">Проверка: Проверить отсутствие в ТЗ требований к стоимости, годовой потребности и цене изделия.</w:t>
      </w:r>
    </w:p>
    <w:p>
      <w:pPr>
        <w:keepNext/>
        <w:spacing w:before="180" w:after="80"/>
      </w:pPr>
      <w:r>
        <w:rPr>
          <w:b/>
        </w:rPr>
        <w:t xml:space="preserve">5 Требования к видам обеспечения</w:t>
      </w:r>
    </w:p>
    <w:p>
      <w:pPr>
        <w:spacing w:after="80" w:line="240" w:lineRule="auto"/>
      </w:pPr>
      <w:r>
        <w:t xml:space="preserve">5.1. Нормативное обеспечение: использовать документы, перечисленные в перечне применимых нормативных и справочных документов.</w:t>
      </w:r>
    </w:p>
    <w:p>
      <w:pPr>
        <w:spacing w:after="80" w:line="240" w:lineRule="auto"/>
      </w:pPr>
      <w:r>
        <w:t xml:space="preserve">5.2. Метрологическое обеспечение: предусмотреть средства и методики измерения формы и амплитуды импульсов по G.703, возвратных потерь 75 Ом, джиттера по G.823 и BER. Незаданные допуски измерений не устанавливать.</w:t>
      </w:r>
    </w:p>
    <w:p>
      <w:pPr>
        <w:spacing w:after="80" w:line="240" w:lineRule="auto"/>
      </w:pPr>
      <w:r>
        <w:t xml:space="preserve">5.3. Диагностическое обеспечение: обеспечить регистрацию LOS/AIS и BPV, формирование сообщений и отчётов для РМО.</w:t>
      </w:r>
    </w:p>
    <w:p>
      <w:pPr>
        <w:spacing w:after="80" w:line="240" w:lineRule="auto"/>
      </w:pPr>
      <w:r>
        <w:t xml:space="preserve">5.4. Программное обеспечение: разработать bitstream функционального модуля для Flash базовой платы, драйверы Linux и MIB для РМО.</w:t>
      </w:r>
    </w:p>
    <w:p>
      <w:pPr>
        <w:spacing w:after="80" w:line="240" w:lineRule="auto"/>
      </w:pPr>
      <w:r>
        <w:t xml:space="preserve">Проверка: Проверить наличие средств/методик и отсутствие неподтверждённых допусков; регистрацию и отчёты по LOS/AIS/BPV; загрузку bitstream, работу драйверов Linux и MIB для РМО.</w:t>
      </w:r>
    </w:p>
    <w:p>
      <w:pPr>
        <w:keepNext/>
        <w:spacing w:before="180" w:after="80"/>
      </w:pPr>
      <w:r>
        <w:rPr>
          <w:b/>
        </w:rPr>
        <w:t xml:space="preserve">6 Требования к сырью, материалам и комплектующим изделиям</w:t>
      </w:r>
    </w:p>
    <w:p>
      <w:pPr>
        <w:spacing w:after="80" w:line="240" w:lineRule="auto"/>
      </w:pPr>
      <w:r>
        <w:t xml:space="preserve">6.1. Предусмотреть приоритет отечественных материалов и комплектующих с приёмкой ОТК.</w:t>
      </w:r>
    </w:p>
    <w:p>
      <w:pPr>
        <w:spacing w:after="80" w:line="240" w:lineRule="auto"/>
      </w:pPr>
      <w:r>
        <w:t xml:space="preserve">6.2. При отсутствии отечественных аналогов разрешить применение импортной ЭКБ промышленного температурного диапазона.</w:t>
      </w:r>
    </w:p>
    <w:p>
      <w:pPr>
        <w:spacing w:after="80" w:line="240" w:lineRule="auto"/>
      </w:pPr>
      <w:r>
        <w:t xml:space="preserve">Проверка: Проверить ведомость материалов и комплектующих, документы приёмки ОТК, обоснование отсутствия отечественного аналога для импортной ЭКБ и промышленный температурный диапазон.</w:t>
      </w:r>
    </w:p>
    <w:p>
      <w:pPr>
        <w:keepNext/>
        <w:spacing w:before="180" w:after="80"/>
      </w:pPr>
      <w:r>
        <w:rPr>
          <w:b/>
        </w:rPr>
        <w:t xml:space="preserve">7 Требования к консервации, упаковке и маркировке</w:t>
      </w:r>
    </w:p>
    <w:p>
      <w:pPr>
        <w:spacing w:after="80" w:line="240" w:lineRule="auto"/>
      </w:pPr>
      <w:r>
        <w:t xml:space="preserve">7.1. На изделии предусмотреть децимальный и серийный номера, ревизию и маркировку E2-1, E2-2, E3-1.</w:t>
      </w:r>
    </w:p>
    <w:p>
      <w:pPr>
        <w:spacing w:after="80" w:line="240" w:lineRule="auto"/>
      </w:pPr>
      <w:r>
        <w:t xml:space="preserve">7.2. Изделие упаковывать в индивидуальную тару с ESD-защитой.</w:t>
      </w:r>
    </w:p>
    <w:p>
      <w:pPr>
        <w:spacing w:after="80" w:line="240" w:lineRule="auto"/>
      </w:pPr>
      <w:r>
        <w:t xml:space="preserve">7.3. Хранение в заводской таре — не менее 1 года по ГОСТ 15150. Иные условия консервации в настоящем ТЗ не устанавливаются.</w:t>
      </w:r>
    </w:p>
    <w:p>
      <w:pPr>
        <w:spacing w:after="80" w:line="240" w:lineRule="auto"/>
      </w:pPr>
      <w:r>
        <w:t xml:space="preserve">Проверка: Проверить содержание и читаемость маркировки, наличие ESD-защиты и документированное подтверждение хранения в заводской таре не менее 1 года по ГОСТ 15150.</w:t>
      </w:r>
    </w:p>
    <w:p>
      <w:pPr>
        <w:keepNext/>
        <w:spacing w:before="180" w:after="80"/>
      </w:pPr>
      <w:r>
        <w:rPr>
          <w:b/>
        </w:rPr>
        <w:t xml:space="preserve">8 Специальные требования</w:t>
      </w:r>
    </w:p>
    <w:p>
      <w:pPr>
        <w:spacing w:after="80" w:line="240" w:lineRule="auto"/>
      </w:pPr>
      <w:r>
        <w:t xml:space="preserve">8.1. Телеметрия РМО (C++/Qt) должна обеспечивать мнемосхему портов, отображение LOS/AIS и BPV, режимов SAToP/E2oP и источника тактирования.</w:t>
      </w:r>
    </w:p>
    <w:p>
      <w:pPr>
        <w:spacing w:after="80" w:line="240" w:lineRule="auto"/>
      </w:pPr>
      <w:r>
        <w:t xml:space="preserve">8.2. Предусмотреть команды включения/отключения передатчиков, настройки джиттер-буфера, включения петель и PRBS.</w:t>
      </w:r>
    </w:p>
    <w:p>
      <w:pPr>
        <w:spacing w:after="80" w:line="240" w:lineRule="auto"/>
      </w:pPr>
      <w:r>
        <w:t xml:space="preserve">Проверка: Проверить отображение перечисленных состояний и источника тактирования в РМО, а также выполнение каждой команды на соответствующем порту; критерии времени реакции и состав протокола команд — [уточнить].</w:t>
      </w:r>
    </w:p>
    <w:p>
      <w:r>
        <w:br w:type="page"/>
      </w:r>
    </w:p>
    <w:p>
      <w:pPr>
        <w:keepNext/>
        <w:spacing w:before="180" w:after="80"/>
      </w:pPr>
      <w:r>
        <w:rPr>
          <w:b/>
        </w:rPr>
        <w:t xml:space="preserve">Подписи разработчиков ТЗ и согласующих организаций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9000" w:type="dxa"/>
      </w:tblPr>
      <w:tr>
        <w:tc>
          <w:tcPr>
            <w:shd w:fill="D9EAF7"/>
          </w:tcPr>
          <w:p>
            <w:r>
              <w:rPr>
                <w:b/>
              </w:rPr>
              <w:t xml:space="preserve">Роль / организация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ФИО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Подпись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Дата</w:t>
            </w:r>
          </w:p>
        </w:tc>
      </w:tr>
      <w:tr>
        <w:tc>
          <w:tcPr/>
          <w:p>
            <w:r>
              <w:t xml:space="preserve">Разработчик ТЗ: ООО «тушканчик»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</w:tr>
      <w:tr>
        <w:tc>
          <w:tcPr/>
          <w:p>
            <w:r>
              <w:t xml:space="preserve">Головной исполнитель ОКР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</w:tr>
      <w:tr>
        <w:tc>
          <w:tcPr/>
          <w:p>
            <w:r>
              <w:t xml:space="preserve">Заказчик либо НИО заказчика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</w:tr>
      <w:tr>
        <w:tc>
          <w:tcPr/>
          <w:p>
            <w:r>
              <w:t xml:space="preserve">Иная согласующая организация (при необходимости)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  <w:tc>
          <w:tcPr/>
          <w:p>
            <w:r>
              <w:t xml:space="preserve">[уточнить]</w:t>
            </w:r>
          </w:p>
        </w:tc>
      </w:tr>
    </w:tbl>
    <w:p/>
    <w:p>
      <w:pPr>
        <w:spacing w:after="80" w:line="240" w:lineRule="auto"/>
      </w:pPr>
      <w:r>
        <w:t xml:space="preserve">Примечание. Неопределённые административные сведения, даты, должности и подписи обозначены [уточнить] в соответствии с исходными требованиями; условные реквизиты не считаются подтверждёнными.</w:t>
      </w:r>
    </w:p>
    <w:sectPr>
      <w:pgSz w:w="11906" w:h="16838"/>
      <w:pgMar w:top="1134" w:right="850" w:bottom="1134" w:left="141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>
  <dc:title xmlns:dc="http://purl.org/dc/elements/1.1/">Техническое задание</dc:title>
  <dc:creator xmlns:dc="http://purl.org/dc/elements/1.1/">ООО «тушканчик»</dc:creator>
</cp:coreProperties>
</file>