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9000" w:type="dxa"/>
        <w:tblLayout w:type="fixed"/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w="300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>
                <w:b/>
              </w:rPr>
              <w:t>СОГЛАСОВАНО</w:t>
            </w:r>
            <w:r>
              <w:br/>
            </w:r>
            <w:r>
              <w:rPr/>
              <w:t>[должность, заказчик (НИО заказчика)]</w:t>
            </w:r>
            <w:r>
              <w:br/>
            </w:r>
            <w:r>
              <w:br/>
            </w:r>
            <w:r>
              <w:rPr/>
              <w:t>__________ [инициалы, фамилия]</w:t>
            </w:r>
            <w:r>
              <w:br/>
            </w:r>
            <w:r>
              <w:rPr/>
              <w:t>«___» __________ 20__ г.</w:t>
            </w:r>
          </w:p>
        </w:tc>
        <w:tc>
          <w:tcPr>
            <w:tcW w:w="300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>
                <w:b/>
              </w:rPr>
              <w:t>СОГЛАСОВАНО</w:t>
            </w:r>
            <w:r>
              <w:br/>
            </w:r>
            <w:r>
              <w:rPr/>
              <w:t>[должность, исполнитель СЧ ОКР]</w:t>
            </w:r>
            <w:r>
              <w:br/>
            </w:r>
            <w:r>
              <w:br/>
            </w:r>
            <w:r>
              <w:rPr/>
              <w:t>__________ [инициалы, фамилия]</w:t>
            </w:r>
            <w:r>
              <w:br/>
            </w:r>
            <w:r>
              <w:rPr/>
              <w:t>«___» __________ 20__ г.</w:t>
            </w:r>
          </w:p>
        </w:tc>
        <w:tc>
          <w:tcPr>
            <w:tcW w:w="300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>
                <w:b/>
              </w:rPr>
              <w:t>УТВЕРЖДАЮ</w:t>
            </w:r>
            <w:r>
              <w:br/>
            </w:r>
            <w:r>
              <w:rPr/>
              <w:t>[должность, головной исполнитель ОКР]</w:t>
            </w:r>
            <w:r>
              <w:br/>
            </w:r>
            <w:r>
              <w:br/>
            </w:r>
            <w:r>
              <w:rPr/>
              <w:t>__________ [инициалы, фамилия]</w:t>
            </w:r>
            <w:r>
              <w:br/>
            </w:r>
            <w:r>
              <w:rPr/>
              <w:t>«___» __________ 20__ г.</w:t>
            </w:r>
          </w:p>
        </w:tc>
      </w:tr>
    </w:tbl>
    <w:p>
      <w:pPr>
        <w:jc w:val="center"/>
        <w:spacing w:before="0" w:after="120" w:line="300" w:lineRule="auto"/>
      </w:pPr>
      <w:r>
        <w:rPr>
          <w:b/>
        </w:rPr>
        <w:t>ТЕХНИЧЕСКОЕ ЗАДАНИЕ</w:t>
      </w:r>
    </w:p>
    <w:p>
      <w:pPr>
        <w:jc w:val="center"/>
        <w:spacing w:before="0" w:after="120" w:line="300" w:lineRule="auto"/>
      </w:pPr>
      <w:r>
        <w:rPr>
          <w:b/>
        </w:rPr>
        <w:t>НА СОСТАВНУЮ ЧАСТЬ ОПЫТНО-КОНСТРУКТОРСКОЙ РАБОТЫ</w:t>
      </w:r>
    </w:p>
    <w:p>
      <w:pPr>
        <w:jc w:val="center"/>
        <w:spacing w:before="0" w:after="120" w:line="300" w:lineRule="auto"/>
      </w:pPr>
      <w:r>
        <w:rPr/>
        <w:t>Разработка сменной интерфейсной субплаты E2/E3 и функционального модуля PDH для универсального базового модуля AMC семейства ДММП</w:t>
      </w:r>
    </w:p>
    <w:p>
      <w:pPr>
        <w:jc w:val="center"/>
        <w:spacing w:before="0" w:after="120" w:line="300" w:lineRule="auto"/>
      </w:pPr>
      <w:r>
        <w:rPr/>
        <w:t>Шифр ОКР «Развитие-ТСА»</w:t>
      </w:r>
    </w:p>
    <w:p>
      <w:pPr>
        <w:jc w:val="center"/>
        <w:spacing w:before="0" w:after="120" w:line="300" w:lineRule="auto"/>
      </w:pPr>
      <w:r>
        <w:rPr/>
        <w:t>Обозначение составной части изделия: [уточнить]</w:t>
      </w:r>
    </w:p>
    <w:p>
      <w:pPr>
        <w:jc w:val="center"/>
        <w:spacing w:before="0" w:after="120" w:line="300" w:lineRule="auto"/>
      </w:pPr>
      <w:r>
        <w:rPr/>
        <w:t>Регистрационный номер: [уточнить]</w:t>
      </w:r>
    </w:p>
    <w:p>
      <w:pPr>
        <w:jc w:val="center"/>
        <w:spacing w:before="0" w:after="120" w:line="300" w:lineRule="auto"/>
      </w:pPr>
      <w:r>
        <w:rPr/>
        <w:t>Действует с дополнением: —</w:t>
      </w:r>
    </w:p>
    <w:p>
      <w:pPr>
        <w:jc w:val="center"/>
        <w:spacing w:before="0" w:after="120" w:line="300" w:lineRule="auto"/>
      </w:pPr>
      <w:r>
        <w:rPr/>
        <w:t>[место составления — уточнить], [год — уточнить]</w:t>
      </w:r>
    </w:p>
    <w:p>
      <w:r>
        <w:br w:type="page"/>
      </w:r>
    </w:p>
    <w:p>
      <w:pPr>
        <w:jc w:val="center"/>
        <w:spacing w:before="280" w:after="200" w:line="300" w:lineRule="auto"/>
        <w:keepNext/>
      </w:pPr>
      <w:r>
        <w:rPr>
          <w:b/>
        </w:rPr>
        <w:t>ЛИСТ СОГЛАСОВАНИЯ</w:t>
      </w:r>
    </w:p>
    <w:tbl>
      <w:tblPr>
        <w:tblW w:w="9000" w:type="dxa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250"/>
        <w:gridCol w:w="2250"/>
        <w:gridCol w:w="2250"/>
        <w:gridCol w:w="2250"/>
      </w:tblGrid>
      <w:tr>
        <w:trPr>
          <w:cantSplit/>
        </w:trPr>
        <w:tc>
          <w:tcPr>
            <w:tcW w:w="2250" w:type="dxa"/>
            <w:vAlign w:val="top"/>
            <w:shd w:fill="D9E2F3"/>
          </w:tcPr>
          <w:p>
            <w:pPr>
              <w:jc w:val="center"/>
              <w:spacing w:before="0" w:after="120" w:line="300" w:lineRule="auto"/>
            </w:pPr>
            <w:r>
              <w:rPr/>
              <w:t>Организация, должность</w:t>
            </w:r>
          </w:p>
        </w:tc>
        <w:tc>
          <w:tcPr>
            <w:tcW w:w="2250" w:type="dxa"/>
            <w:vAlign w:val="top"/>
            <w:shd w:fill="D9E2F3"/>
          </w:tcPr>
          <w:p>
            <w:pPr>
              <w:jc w:val="center"/>
              <w:spacing w:before="0" w:after="120" w:line="300" w:lineRule="auto"/>
            </w:pPr>
            <w:r>
              <w:rPr/>
              <w:t>Фамилия, инициалы</w:t>
            </w:r>
          </w:p>
        </w:tc>
        <w:tc>
          <w:tcPr>
            <w:tcW w:w="2250" w:type="dxa"/>
            <w:vAlign w:val="top"/>
            <w:shd w:fill="D9E2F3"/>
          </w:tcPr>
          <w:p>
            <w:pPr>
              <w:jc w:val="center"/>
              <w:spacing w:before="0" w:after="120" w:line="300" w:lineRule="auto"/>
            </w:pPr>
            <w:r>
              <w:rPr/>
              <w:t>Подпись</w:t>
            </w:r>
          </w:p>
        </w:tc>
        <w:tc>
          <w:tcPr>
            <w:tcW w:w="2250" w:type="dxa"/>
            <w:vAlign w:val="top"/>
            <w:shd w:fill="D9E2F3"/>
          </w:tcPr>
          <w:p>
            <w:pPr>
              <w:jc w:val="center"/>
              <w:spacing w:before="0" w:after="120" w:line="300" w:lineRule="auto"/>
            </w:pPr>
            <w:r>
              <w:rPr/>
              <w:t>Дата</w:t>
            </w:r>
          </w:p>
        </w:tc>
      </w:tr>
      <w:tr>
        <w:trPr>
          <w:cantSplit/>
        </w:trPr>
        <w:tc>
          <w:tcPr>
            <w:tcW w:w="225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/>
              <w:t>[уточнить]</w:t>
            </w:r>
          </w:p>
        </w:tc>
        <w:tc>
          <w:tcPr>
            <w:tcW w:w="225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/>
              <w:t>[уточнить]</w:t>
            </w:r>
          </w:p>
        </w:tc>
        <w:tc>
          <w:tcPr>
            <w:tcW w:w="225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/>
              <w:t>__________</w:t>
            </w:r>
          </w:p>
        </w:tc>
        <w:tc>
          <w:tcPr>
            <w:tcW w:w="225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/>
              <w:t>__________</w:t>
            </w:r>
          </w:p>
        </w:tc>
      </w:tr>
      <w:tr>
        <w:trPr>
          <w:cantSplit/>
        </w:trPr>
        <w:tc>
          <w:tcPr>
            <w:tcW w:w="225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/>
              <w:t>[уточнить]</w:t>
            </w:r>
          </w:p>
        </w:tc>
        <w:tc>
          <w:tcPr>
            <w:tcW w:w="225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/>
              <w:t>[уточнить]</w:t>
            </w:r>
          </w:p>
        </w:tc>
        <w:tc>
          <w:tcPr>
            <w:tcW w:w="225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/>
              <w:t>__________</w:t>
            </w:r>
          </w:p>
        </w:tc>
        <w:tc>
          <w:tcPr>
            <w:tcW w:w="225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/>
              <w:t>__________</w:t>
            </w:r>
          </w:p>
        </w:tc>
      </w:tr>
      <w:tr>
        <w:trPr>
          <w:cantSplit/>
        </w:trPr>
        <w:tc>
          <w:tcPr>
            <w:tcW w:w="225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/>
              <w:t>[уточнить]</w:t>
            </w:r>
          </w:p>
        </w:tc>
        <w:tc>
          <w:tcPr>
            <w:tcW w:w="225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/>
              <w:t>[уточнить]</w:t>
            </w:r>
          </w:p>
        </w:tc>
        <w:tc>
          <w:tcPr>
            <w:tcW w:w="225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/>
              <w:t>__________</w:t>
            </w:r>
          </w:p>
        </w:tc>
        <w:tc>
          <w:tcPr>
            <w:tcW w:w="225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/>
              <w:t>__________</w:t>
            </w:r>
          </w:p>
        </w:tc>
      </w:tr>
      <w:tr>
        <w:trPr>
          <w:cantSplit/>
        </w:trPr>
        <w:tc>
          <w:tcPr>
            <w:tcW w:w="225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/>
              <w:t>[уточнить]</w:t>
            </w:r>
          </w:p>
        </w:tc>
        <w:tc>
          <w:tcPr>
            <w:tcW w:w="225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/>
              <w:t>[уточнить]</w:t>
            </w:r>
          </w:p>
        </w:tc>
        <w:tc>
          <w:tcPr>
            <w:tcW w:w="225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/>
              <w:t>__________</w:t>
            </w:r>
          </w:p>
        </w:tc>
        <w:tc>
          <w:tcPr>
            <w:tcW w:w="225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/>
              <w:t>__________</w:t>
            </w:r>
          </w:p>
        </w:tc>
      </w:tr>
    </w:tbl>
    <w:p>
      <w:pPr>
        <w:jc w:val="both"/>
        <w:spacing w:before="0" w:after="120" w:line="300" w:lineRule="auto"/>
        <w:ind w:left="180"/>
      </w:pPr>
      <w:r>
        <w:rPr/>
        <w:t>Примечание — Состав согласующих организаций и должностных лиц подлежит уточнению головным исполнителем ОКР и заказчиком.</w:t>
      </w:r>
    </w:p>
    <w:p>
      <w:r>
        <w:br w:type="page"/>
      </w:r>
    </w:p>
    <w:p>
      <w:pPr>
        <w:jc w:val="center"/>
        <w:spacing w:before="280" w:after="200" w:line="300" w:lineRule="auto"/>
        <w:keepNext/>
      </w:pPr>
      <w:r>
        <w:rPr>
          <w:b/>
        </w:rPr>
        <w:t>ОБОЗНАЧЕНИЯ, СОКРАЩЕНИЯ И ТЕРМИНЫ</w:t>
      </w:r>
    </w:p>
    <w:tbl>
      <w:tblPr>
        <w:tblW w:w="9000" w:type="dxa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500"/>
        <w:gridCol w:w="4500"/>
      </w:tblGrid>
      <w:tr>
        <w:trPr>
          <w:cantSplit/>
        </w:trPr>
        <w:tc>
          <w:tcPr>
            <w:tcW w:w="4500" w:type="dxa"/>
            <w:vAlign w:val="top"/>
            <w:shd w:fill="D9E2F3"/>
          </w:tcPr>
          <w:p>
            <w:pPr>
              <w:jc w:val="center"/>
              <w:spacing w:before="0" w:after="120" w:line="300" w:lineRule="auto"/>
            </w:pPr>
            <w:r>
              <w:rPr/>
              <w:t>Обозначение</w:t>
            </w:r>
          </w:p>
        </w:tc>
        <w:tc>
          <w:tcPr>
            <w:tcW w:w="4500" w:type="dxa"/>
            <w:vAlign w:val="top"/>
            <w:shd w:fill="D9E2F3"/>
          </w:tcPr>
          <w:p>
            <w:pPr>
              <w:jc w:val="center"/>
              <w:spacing w:before="0" w:after="120" w:line="300" w:lineRule="auto"/>
            </w:pPr>
            <w:r>
              <w:rPr/>
              <w:t>Раскрытие и значение в настоящем ТЗ</w:t>
            </w:r>
          </w:p>
        </w:tc>
      </w:tr>
      <w:tr>
        <w:trPr>
          <w:cantSplit/>
        </w:trPr>
        <w:tc>
          <w:tcPr>
            <w:tcW w:w="450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/>
              <w:t>ACR</w:t>
            </w:r>
          </w:p>
        </w:tc>
        <w:tc>
          <w:tcPr>
            <w:tcW w:w="450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/>
              <w:t>Механизм восстановления тактовой частоты, обозначенный в исходных данных как ACR; полная расшифровка в исходных данных отсутствует и подлежит уточнению.</w:t>
            </w:r>
          </w:p>
        </w:tc>
      </w:tr>
      <w:tr>
        <w:trPr>
          <w:cantSplit/>
        </w:trPr>
        <w:tc>
          <w:tcPr>
            <w:tcW w:w="450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/>
              <w:t>AIS</w:t>
            </w:r>
          </w:p>
        </w:tc>
        <w:tc>
          <w:tcPr>
            <w:tcW w:w="450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/>
              <w:t>Сигнал индикации аварии; в исходных данных используется для состояния линейного тракта и непрерывного сигнала на выходе при потере пакетов или аварии сети.</w:t>
            </w:r>
          </w:p>
        </w:tc>
      </w:tr>
      <w:tr>
        <w:trPr>
          <w:cantSplit/>
        </w:trPr>
        <w:tc>
          <w:tcPr>
            <w:tcW w:w="450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/>
              <w:t>AMC</w:t>
            </w:r>
          </w:p>
        </w:tc>
        <w:tc>
          <w:tcPr>
            <w:tcW w:w="450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/>
              <w:t>Обозначение форм-фактора и интерфейса модуля по PICMG AMC.0 R2.0; полная расшифровка в исходных данных отсутствует.</w:t>
            </w:r>
          </w:p>
        </w:tc>
      </w:tr>
      <w:tr>
        <w:trPr>
          <w:cantSplit/>
        </w:trPr>
        <w:tc>
          <w:tcPr>
            <w:tcW w:w="450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/>
              <w:t>B2B</w:t>
            </w:r>
          </w:p>
        </w:tc>
        <w:tc>
          <w:tcPr>
            <w:tcW w:w="450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/>
              <w:t>Межплатное соединение субплаты с базовой платой; полная расшифровка в исходных данных отсутствует.</w:t>
            </w:r>
          </w:p>
        </w:tc>
      </w:tr>
      <w:tr>
        <w:trPr>
          <w:cantSplit/>
        </w:trPr>
        <w:tc>
          <w:tcPr>
            <w:tcW w:w="450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/>
              <w:t>BER</w:t>
            </w:r>
          </w:p>
        </w:tc>
        <w:tc>
          <w:tcPr>
            <w:tcW w:w="450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/>
              <w:t>Коэффициент ошибок по битам, измеряемый генератором/анализатором PRBS.</w:t>
            </w:r>
          </w:p>
        </w:tc>
      </w:tr>
      <w:tr>
        <w:trPr>
          <w:cantSplit/>
        </w:trPr>
        <w:tc>
          <w:tcPr>
            <w:tcW w:w="450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/>
              <w:t>Board ID</w:t>
            </w:r>
          </w:p>
        </w:tc>
        <w:tc>
          <w:tcPr>
            <w:tcW w:w="450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/>
              <w:t>Идентификатор типа субплаты, хранимый в EEPROM; для субплаты E2/E3 установлен код 0x03.</w:t>
            </w:r>
          </w:p>
        </w:tc>
      </w:tr>
      <w:tr>
        <w:trPr>
          <w:cantSplit/>
        </w:trPr>
        <w:tc>
          <w:tcPr>
            <w:tcW w:w="450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/>
              <w:t>BPV/CV</w:t>
            </w:r>
          </w:p>
        </w:tc>
        <w:tc>
          <w:tcPr>
            <w:tcW w:w="450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/>
              <w:t>Контролируемые нарушения биполярности/кода HDB3; полная расшифровка в исходных данных отсутствует.</w:t>
            </w:r>
          </w:p>
        </w:tc>
      </w:tr>
      <w:tr>
        <w:trPr>
          <w:cantSplit/>
        </w:trPr>
        <w:tc>
          <w:tcPr>
            <w:tcW w:w="450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/>
              <w:t>DCR</w:t>
            </w:r>
          </w:p>
        </w:tc>
        <w:tc>
          <w:tcPr>
            <w:tcW w:w="450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/>
              <w:t>Механизм восстановления тактовой частоты, обозначенный в исходных данных как DCR; полная расшифровка отсутствует.</w:t>
            </w:r>
          </w:p>
        </w:tc>
      </w:tr>
      <w:tr>
        <w:trPr>
          <w:cantSplit/>
        </w:trPr>
        <w:tc>
          <w:tcPr>
            <w:tcW w:w="450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/>
              <w:t>DPLL</w:t>
            </w:r>
          </w:p>
        </w:tc>
        <w:tc>
          <w:tcPr>
            <w:tcW w:w="450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/>
              <w:t>Узел базовой платы, преобразующий частоту RX_CLK в 19,44 МГц для TCLK; полная расшифровка отсутствует.</w:t>
            </w:r>
          </w:p>
        </w:tc>
      </w:tr>
      <w:tr>
        <w:trPr>
          <w:cantSplit/>
        </w:trPr>
        <w:tc>
          <w:tcPr>
            <w:tcW w:w="450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/>
              <w:t>EEPROM</w:t>
            </w:r>
          </w:p>
        </w:tc>
        <w:tc>
          <w:tcPr>
            <w:tcW w:w="450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/>
              <w:t>Энергонезависимая память субплаты для хранения Board ID.</w:t>
            </w:r>
          </w:p>
        </w:tc>
      </w:tr>
      <w:tr>
        <w:trPr>
          <w:cantSplit/>
        </w:trPr>
        <w:tc>
          <w:tcPr>
            <w:tcW w:w="450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/>
              <w:t>HDB3</w:t>
            </w:r>
          </w:p>
        </w:tc>
        <w:tc>
          <w:tcPr>
            <w:tcW w:w="450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/>
              <w:t>Линейный код, установленный для потоков E2 и E3; полная расшифровка в исходных данных отсутствует.</w:t>
            </w:r>
          </w:p>
        </w:tc>
      </w:tr>
      <w:tr>
        <w:trPr>
          <w:cantSplit/>
        </w:trPr>
        <w:tc>
          <w:tcPr>
            <w:tcW w:w="450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/>
              <w:t>LIU</w:t>
            </w:r>
          </w:p>
        </w:tc>
        <w:tc>
          <w:tcPr>
            <w:tcW w:w="450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/>
              <w:t>Линейный интерфейсный узел; полная расшифровка в исходных данных отсутствует.</w:t>
            </w:r>
          </w:p>
        </w:tc>
      </w:tr>
      <w:tr>
        <w:trPr>
          <w:cantSplit/>
        </w:trPr>
        <w:tc>
          <w:tcPr>
            <w:tcW w:w="450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/>
              <w:t>LOS</w:t>
            </w:r>
          </w:p>
        </w:tc>
        <w:tc>
          <w:tcPr>
            <w:tcW w:w="450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/>
              <w:t>Состояние потери входного сигнала; полная расшифровка в исходных данных отсутствует.</w:t>
            </w:r>
          </w:p>
        </w:tc>
      </w:tr>
      <w:tr>
        <w:trPr>
          <w:cantSplit/>
        </w:trPr>
        <w:tc>
          <w:tcPr>
            <w:tcW w:w="450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/>
              <w:t>MIB</w:t>
            </w:r>
          </w:p>
        </w:tc>
        <w:tc>
          <w:tcPr>
            <w:tcW w:w="450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/>
              <w:t>Информационная база управления для РМО; полная расшифровка в исходных данных отсутствует.</w:t>
            </w:r>
          </w:p>
        </w:tc>
      </w:tr>
      <w:tr>
        <w:trPr>
          <w:cantSplit/>
        </w:trPr>
        <w:tc>
          <w:tcPr>
            <w:tcW w:w="450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/>
              <w:t>MMC</w:t>
            </w:r>
          </w:p>
        </w:tc>
        <w:tc>
          <w:tcPr>
            <w:tcW w:w="450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/>
              <w:t>Средство управления модулем, предоставляемое базовой платой; полная расшифровка в исходных данных отсутствует.</w:t>
            </w:r>
          </w:p>
        </w:tc>
      </w:tr>
      <w:tr>
        <w:trPr>
          <w:cantSplit/>
        </w:trPr>
        <w:tc>
          <w:tcPr>
            <w:tcW w:w="450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/>
              <w:t>PDH</w:t>
            </w:r>
          </w:p>
        </w:tc>
        <w:tc>
          <w:tcPr>
            <w:tcW w:w="450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/>
              <w:t>Функциональный модуль для трактов 8 и 34 Мбит/с; полная расшифровка в исходных данных отсутствует.</w:t>
            </w:r>
          </w:p>
        </w:tc>
      </w:tr>
      <w:tr>
        <w:trPr>
          <w:cantSplit/>
        </w:trPr>
        <w:tc>
          <w:tcPr>
            <w:tcW w:w="450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/>
              <w:t>PRBS 2^23−1</w:t>
            </w:r>
          </w:p>
        </w:tc>
        <w:tc>
          <w:tcPr>
            <w:tcW w:w="450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/>
              <w:t>Псевдослучайная битовая последовательность, применяемая для измерения BER.</w:t>
            </w:r>
          </w:p>
        </w:tc>
      </w:tr>
      <w:tr>
        <w:trPr>
          <w:cantSplit/>
        </w:trPr>
        <w:tc>
          <w:tcPr>
            <w:tcW w:w="450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/>
              <w:t>QoS</w:t>
            </w:r>
          </w:p>
        </w:tc>
        <w:tc>
          <w:tcPr>
            <w:tcW w:w="450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/>
              <w:t>Механизм обслуживания трафика; для Fabric 10GbE требуется Strict Priority QoS.</w:t>
            </w:r>
          </w:p>
        </w:tc>
      </w:tr>
      <w:tr>
        <w:trPr>
          <w:cantSplit/>
        </w:trPr>
        <w:tc>
          <w:tcPr>
            <w:tcW w:w="450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/>
              <w:t>RX_CLK</w:t>
            </w:r>
          </w:p>
        </w:tc>
        <w:tc>
          <w:tcPr>
            <w:tcW w:w="450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/>
              <w:t>Выход тактовой частоты, на который может быть выдана частота любого входного порта.</w:t>
            </w:r>
          </w:p>
        </w:tc>
      </w:tr>
      <w:tr>
        <w:trPr>
          <w:cantSplit/>
        </w:trPr>
        <w:tc>
          <w:tcPr>
            <w:tcW w:w="450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/>
              <w:t>SAToP</w:t>
            </w:r>
          </w:p>
        </w:tc>
        <w:tc>
          <w:tcPr>
            <w:tcW w:w="450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/>
              <w:t>Архитектура пакетной передачи полного потока по RFC 4553; полная расшифровка в исходных данных отсутствует.</w:t>
            </w:r>
          </w:p>
        </w:tc>
      </w:tr>
      <w:tr>
        <w:trPr>
          <w:cantSplit/>
        </w:trPr>
        <w:tc>
          <w:tcPr>
            <w:tcW w:w="450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/>
              <w:t>TCLK</w:t>
            </w:r>
          </w:p>
        </w:tc>
        <w:tc>
          <w:tcPr>
            <w:tcW w:w="450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/>
              <w:t>Тактирование базовой платы с частотой 19,44 МГц, пересчитываемое в частоты 8,448/34,368 МГц.</w:t>
            </w:r>
          </w:p>
        </w:tc>
      </w:tr>
      <w:tr>
        <w:trPr>
          <w:cantSplit/>
        </w:trPr>
        <w:tc>
          <w:tcPr>
            <w:tcW w:w="450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/>
              <w:t>BNC, DIN 1.0/2.3</w:t>
            </w:r>
          </w:p>
        </w:tc>
        <w:tc>
          <w:tcPr>
            <w:tcW w:w="450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/>
              <w:t>Типы 75-омных вилок адаптерных кабелей.</w:t>
            </w:r>
          </w:p>
        </w:tc>
      </w:tr>
      <w:tr>
        <w:trPr>
          <w:cantSplit/>
        </w:trPr>
        <w:tc>
          <w:tcPr>
            <w:tcW w:w="450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/>
              <w:t>КИМП</w:t>
            </w:r>
          </w:p>
        </w:tc>
        <w:tc>
          <w:tcPr>
            <w:tcW w:w="450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/>
              <w:t>Комплектующие изделия межотраслевого применения (термин ГОСТ 15.016-2016).</w:t>
            </w:r>
          </w:p>
        </w:tc>
      </w:tr>
      <w:tr>
        <w:trPr>
          <w:cantSplit/>
        </w:trPr>
        <w:tc>
          <w:tcPr>
            <w:tcW w:w="450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/>
              <w:t>ОКР</w:t>
            </w:r>
          </w:p>
        </w:tc>
        <w:tc>
          <w:tcPr>
            <w:tcW w:w="450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/>
              <w:t>Опытно-конструкторская работа.</w:t>
            </w:r>
          </w:p>
        </w:tc>
      </w:tr>
      <w:tr>
        <w:trPr>
          <w:cantSplit/>
        </w:trPr>
        <w:tc>
          <w:tcPr>
            <w:tcW w:w="450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/>
              <w:t>ОТК</w:t>
            </w:r>
          </w:p>
        </w:tc>
        <w:tc>
          <w:tcPr>
            <w:tcW w:w="450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/>
              <w:t>Подразделение/функция технического контроля комплектующих; полная расшифровка в исходных данных отсутствует.</w:t>
            </w:r>
          </w:p>
        </w:tc>
      </w:tr>
      <w:tr>
        <w:trPr>
          <w:cantSplit/>
        </w:trPr>
        <w:tc>
          <w:tcPr>
            <w:tcW w:w="450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/>
              <w:t>ПЛИС</w:t>
            </w:r>
          </w:p>
        </w:tc>
        <w:tc>
          <w:tcPr>
            <w:tcW w:w="450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/>
              <w:t>Программируемая логическая интегральная схема.</w:t>
            </w:r>
          </w:p>
        </w:tc>
      </w:tr>
      <w:tr>
        <w:trPr>
          <w:cantSplit/>
        </w:trPr>
        <w:tc>
          <w:tcPr>
            <w:tcW w:w="450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/>
              <w:t>ПМИ</w:t>
            </w:r>
          </w:p>
        </w:tc>
        <w:tc>
          <w:tcPr>
            <w:tcW w:w="450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/>
              <w:t>Документ, определяющий программу и методики испытаний; полная расшифровка сокращения в исходных данных отсутствует.</w:t>
            </w:r>
          </w:p>
        </w:tc>
      </w:tr>
      <w:tr>
        <w:trPr>
          <w:cantSplit/>
        </w:trPr>
        <w:tc>
          <w:tcPr>
            <w:tcW w:w="450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/>
              <w:t>РКД</w:t>
            </w:r>
          </w:p>
        </w:tc>
        <w:tc>
          <w:tcPr>
            <w:tcW w:w="450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/>
              <w:t>Рабочая конструкторская документация.</w:t>
            </w:r>
          </w:p>
        </w:tc>
      </w:tr>
      <w:tr>
        <w:trPr>
          <w:cantSplit/>
        </w:trPr>
        <w:tc>
          <w:tcPr>
            <w:tcW w:w="450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/>
              <w:t>РМО</w:t>
            </w:r>
          </w:p>
        </w:tc>
        <w:tc>
          <w:tcPr>
            <w:tcW w:w="450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/>
              <w:t>Средство удалённого мониторинга и управления, реализуемое на C++/Qt; полная расшифровка сокращения в исходных данных отсутствует.</w:t>
            </w:r>
          </w:p>
        </w:tc>
      </w:tr>
      <w:tr>
        <w:trPr>
          <w:cantSplit/>
        </w:trPr>
        <w:tc>
          <w:tcPr>
            <w:tcW w:w="450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/>
              <w:t>СЧ ОКР</w:t>
            </w:r>
          </w:p>
        </w:tc>
        <w:tc>
          <w:tcPr>
            <w:tcW w:w="450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/>
              <w:t>Составная часть опытно-конструкторской работы.</w:t>
            </w:r>
          </w:p>
        </w:tc>
      </w:tr>
      <w:tr>
        <w:trPr>
          <w:cantSplit/>
        </w:trPr>
        <w:tc>
          <w:tcPr>
            <w:tcW w:w="450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/>
              <w:t>ЭКБ</w:t>
            </w:r>
          </w:p>
        </w:tc>
        <w:tc>
          <w:tcPr>
            <w:tcW w:w="450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/>
              <w:t>Электронная компонентная база.</w:t>
            </w:r>
          </w:p>
        </w:tc>
      </w:tr>
    </w:tbl>
    <w:p>
      <w:pPr>
        <w:jc w:val="both"/>
        <w:spacing w:before="0" w:after="120" w:line="300" w:lineRule="auto"/>
        <w:ind w:left="180"/>
      </w:pPr>
      <w:r>
        <w:rPr/>
        <w:t>Требуется уточнить официальные полные расшифровки сокращений ACR, AIS, AMC, B2B, BPV/CV, DCR, DPLL, HDB3, LIU, LOS, MIB, MMC, PDH, QoS, SAToP, ОТК, ПМИ и РМО до утверждения ТЗ. Приведённые функциональные значения не заменяют таких расшифровок.</w:t>
      </w:r>
    </w:p>
    <w:p>
      <w:pPr>
        <w:jc w:val="center"/>
        <w:spacing w:before="280" w:after="200" w:line="300" w:lineRule="auto"/>
        <w:keepNext/>
      </w:pPr>
      <w:r>
        <w:rPr>
          <w:b/>
        </w:rPr>
        <w:t>ПЕРЕЧЕНЬ ПРИМЕНИМЫХ НОРМАТИВНЫХ И СПРАВОЧНЫХ ДОКУМЕНТОВ</w:t>
      </w:r>
    </w:p>
    <w:tbl>
      <w:tblPr>
        <w:tblW w:w="9000" w:type="dxa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500"/>
        <w:gridCol w:w="4500"/>
      </w:tblGrid>
      <w:tr>
        <w:trPr>
          <w:cantSplit/>
        </w:trPr>
        <w:tc>
          <w:tcPr>
            <w:tcW w:w="4500" w:type="dxa"/>
            <w:vAlign w:val="top"/>
            <w:shd w:fill="D9E2F3"/>
          </w:tcPr>
          <w:p>
            <w:pPr>
              <w:jc w:val="center"/>
              <w:spacing w:before="0" w:after="120" w:line="300" w:lineRule="auto"/>
            </w:pPr>
            <w:r>
              <w:rPr/>
              <w:t>Обозначение</w:t>
            </w:r>
          </w:p>
        </w:tc>
        <w:tc>
          <w:tcPr>
            <w:tcW w:w="4500" w:type="dxa"/>
            <w:vAlign w:val="top"/>
            <w:shd w:fill="D9E2F3"/>
          </w:tcPr>
          <w:p>
            <w:pPr>
              <w:jc w:val="center"/>
              <w:spacing w:before="0" w:after="120" w:line="300" w:lineRule="auto"/>
            </w:pPr>
            <w:r>
              <w:rPr/>
              <w:t>Область применения в настоящем ТЗ</w:t>
            </w:r>
          </w:p>
        </w:tc>
      </w:tr>
      <w:tr>
        <w:trPr>
          <w:cantSplit/>
        </w:trPr>
        <w:tc>
          <w:tcPr>
            <w:tcW w:w="450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/>
              <w:t>ГОСТ 15.016-2016</w:t>
            </w:r>
          </w:p>
        </w:tc>
        <w:tc>
          <w:tcPr>
            <w:tcW w:w="450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/>
              <w:t>Построение, содержание, изложение и оформление ТЗ на СЧ ОКР: 6.1, 6.2 и 7.1.</w:t>
            </w:r>
          </w:p>
        </w:tc>
      </w:tr>
      <w:tr>
        <w:trPr>
          <w:cantSplit/>
        </w:trPr>
        <w:tc>
          <w:tcPr>
            <w:tcW w:w="450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/>
              <w:t>ГОСТ 2.114-2016</w:t>
            </w:r>
          </w:p>
        </w:tc>
        <w:tc>
          <w:tcPr>
            <w:tcW w:w="450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/>
              <w:t>Разработка РКД и технических условий в применимой части.</w:t>
            </w:r>
          </w:p>
        </w:tc>
      </w:tr>
      <w:tr>
        <w:trPr>
          <w:cantSplit/>
        </w:trPr>
        <w:tc>
          <w:tcPr>
            <w:tcW w:w="450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/>
              <w:t>ГОСТ РВ 15.201-2003</w:t>
            </w:r>
          </w:p>
        </w:tc>
        <w:tc>
          <w:tcPr>
            <w:tcW w:w="450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/>
              <w:t>Организация выполнения ОКР в применимой части.</w:t>
            </w:r>
          </w:p>
        </w:tc>
      </w:tr>
      <w:tr>
        <w:trPr>
          <w:cantSplit/>
        </w:trPr>
        <w:tc>
          <w:tcPr>
            <w:tcW w:w="450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/>
              <w:t>ГОСТ РВ 20.39.304-98</w:t>
            </w:r>
          </w:p>
        </w:tc>
        <w:tc>
          <w:tcPr>
            <w:tcW w:w="450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/>
              <w:t>Стойкость к внешним воздействиям: группы 1.1, 1.3, 1.4.1, исполнение «О».</w:t>
            </w:r>
          </w:p>
        </w:tc>
      </w:tr>
      <w:tr>
        <w:trPr>
          <w:cantSplit/>
        </w:trPr>
        <w:tc>
          <w:tcPr>
            <w:tcW w:w="450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/>
              <w:t>ГОСТ В 25803-91</w:t>
            </w:r>
          </w:p>
        </w:tc>
        <w:tc>
          <w:tcPr>
            <w:tcW w:w="450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/>
              <w:t>Требования по радиопомехам: группа 1.1.1.</w:t>
            </w:r>
          </w:p>
        </w:tc>
      </w:tr>
      <w:tr>
        <w:trPr>
          <w:cantSplit/>
        </w:trPr>
        <w:tc>
          <w:tcPr>
            <w:tcW w:w="450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/>
              <w:t>ГОСТ 15150</w:t>
            </w:r>
          </w:p>
        </w:tc>
        <w:tc>
          <w:tcPr>
            <w:tcW w:w="450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/>
              <w:t>Условия хранения в заводской таре.</w:t>
            </w:r>
          </w:p>
        </w:tc>
      </w:tr>
      <w:tr>
        <w:trPr>
          <w:cantSplit/>
        </w:trPr>
        <w:tc>
          <w:tcPr>
            <w:tcW w:w="450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/>
              <w:t>ITU-T G.703</w:t>
            </w:r>
          </w:p>
        </w:tc>
        <w:tc>
          <w:tcPr>
            <w:tcW w:w="450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/>
              <w:t>Электрические параметры интерфейсов E2 и E3.</w:t>
            </w:r>
          </w:p>
        </w:tc>
      </w:tr>
      <w:tr>
        <w:trPr>
          <w:cantSplit/>
        </w:trPr>
        <w:tc>
          <w:tcPr>
            <w:tcW w:w="450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/>
              <w:t>ITU-T G.704</w:t>
            </w:r>
          </w:p>
        </w:tc>
        <w:tc>
          <w:tcPr>
            <w:tcW w:w="450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/>
              <w:t>Структура потока E2.</w:t>
            </w:r>
          </w:p>
        </w:tc>
      </w:tr>
      <w:tr>
        <w:trPr>
          <w:cantSplit/>
        </w:trPr>
        <w:tc>
          <w:tcPr>
            <w:tcW w:w="450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/>
              <w:t>ITU-T G.751</w:t>
            </w:r>
          </w:p>
        </w:tc>
        <w:tc>
          <w:tcPr>
            <w:tcW w:w="450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/>
              <w:t>Структура потока E3.</w:t>
            </w:r>
          </w:p>
        </w:tc>
      </w:tr>
      <w:tr>
        <w:trPr>
          <w:cantSplit/>
        </w:trPr>
        <w:tc>
          <w:tcPr>
            <w:tcW w:w="450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/>
              <w:t>ITU-T G.823</w:t>
            </w:r>
          </w:p>
        </w:tc>
        <w:tc>
          <w:tcPr>
            <w:tcW w:w="450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/>
              <w:t>Показатели джиттера и вандера.</w:t>
            </w:r>
          </w:p>
        </w:tc>
      </w:tr>
      <w:tr>
        <w:trPr>
          <w:cantSplit/>
        </w:trPr>
        <w:tc>
          <w:tcPr>
            <w:tcW w:w="450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/>
              <w:t>RFC 4553</w:t>
            </w:r>
          </w:p>
        </w:tc>
        <w:tc>
          <w:tcPr>
            <w:tcW w:w="450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/>
              <w:t>SAToP для полного потока E3 с управляющим словом и контролем последовательности.</w:t>
            </w:r>
          </w:p>
        </w:tc>
      </w:tr>
      <w:tr>
        <w:trPr>
          <w:cantSplit/>
        </w:trPr>
        <w:tc>
          <w:tcPr>
            <w:tcW w:w="450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/>
              <w:t>PICMG AMC.0 R2.0</w:t>
            </w:r>
          </w:p>
        </w:tc>
        <w:tc>
          <w:tcPr>
            <w:tcW w:w="450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/>
              <w:t>Конструктив Single Full-size AMC.</w:t>
            </w:r>
          </w:p>
        </w:tc>
      </w:tr>
    </w:tbl>
    <w:p>
      <w:pPr>
        <w:jc w:val="both"/>
        <w:spacing w:before="0" w:after="120" w:line="300" w:lineRule="auto"/>
        <w:ind w:left="180"/>
      </w:pPr>
      <w:r>
        <w:rPr/>
        <w:t>Редакции документов, кроме прямо указанных в обозначении, в исходных данных не заданы и подлежат установлению держателем нормативного фонда до утверждения ТЗ.</w:t>
      </w:r>
    </w:p>
    <w:p>
      <w:pPr>
        <w:jc w:val="center"/>
        <w:spacing w:before="280" w:after="200" w:line="300" w:lineRule="auto"/>
        <w:keepNext/>
      </w:pPr>
      <w:r>
        <w:rPr>
          <w:b/>
        </w:rPr>
        <w:t>1 Наименование, шифр, основание, исполнители и сроки ОКР</w:t>
      </w:r>
    </w:p>
    <w:p>
      <w:pPr>
        <w:jc w:val="both"/>
        <w:spacing w:before="0" w:after="120" w:line="300" w:lineRule="auto"/>
      </w:pPr>
      <w:r>
        <w:rPr>
          <w:b/>
        </w:rPr>
        <w:t>1.1</w:t>
      </w:r>
      <w:r>
        <w:rPr/>
        <w:t xml:space="preserve"> Наименование СЧ ОКР: разработка сменной интерфейсной субплаты E2/E3 и функционального модуля PDH для универсального базового модуля AMC семейства ДММП.</w:t>
      </w:r>
    </w:p>
    <w:p>
      <w:pPr>
        <w:jc w:val="both"/>
        <w:spacing w:before="0" w:after="120" w:line="300" w:lineRule="auto"/>
      </w:pPr>
      <w:r>
        <w:rPr>
          <w:b/>
        </w:rPr>
        <w:t>1.2</w:t>
      </w:r>
      <w:r>
        <w:rPr/>
        <w:t xml:space="preserve"> Шифр ОКР — «Развитие-ТСА».</w:t>
      </w:r>
    </w:p>
    <w:p>
      <w:pPr>
        <w:jc w:val="both"/>
        <w:spacing w:before="0" w:after="120" w:line="300" w:lineRule="auto"/>
      </w:pPr>
      <w:r>
        <w:rPr>
          <w:b/>
        </w:rPr>
        <w:t>1.3</w:t>
      </w:r>
      <w:r>
        <w:rPr/>
        <w:t xml:space="preserve"> Основание выполнения — приказ об открытии инициативной ОКР № [уточнить] от [уточнить].</w:t>
      </w:r>
    </w:p>
    <w:p>
      <w:pPr>
        <w:jc w:val="both"/>
        <w:spacing w:before="0" w:after="120" w:line="300" w:lineRule="auto"/>
      </w:pPr>
      <w:r>
        <w:rPr>
          <w:b/>
        </w:rPr>
        <w:t>1.4</w:t>
      </w:r>
      <w:r>
        <w:rPr/>
        <w:t xml:space="preserve"> Исполнитель — ООО «тушканчик».</w:t>
      </w:r>
    </w:p>
    <w:p>
      <w:pPr>
        <w:jc w:val="both"/>
        <w:spacing w:before="0" w:after="120" w:line="300" w:lineRule="auto"/>
      </w:pPr>
      <w:r>
        <w:rPr>
          <w:b/>
        </w:rPr>
        <w:t>1.5</w:t>
      </w:r>
      <w:r>
        <w:rPr/>
        <w:t xml:space="preserve"> Сроки выполнения СЧ ОКР должны быть увязаны с утверждённым планом-графиком разработки РКД и программной документации, изготовления образцов и проведения испытаний. Календарные даты — [уточнить по утверждённому плану-графику].</w:t>
      </w:r>
    </w:p>
    <w:p>
      <w:pPr>
        <w:jc w:val="both"/>
        <w:spacing w:before="0" w:after="120" w:line="300" w:lineRule="auto"/>
        <w:ind w:left="180"/>
      </w:pPr>
      <w:r>
        <w:rPr>
          <w:b/>
        </w:rPr>
        <w:t>Проверка раздела 1.</w:t>
      </w:r>
      <w:r>
        <w:rPr/>
        <w:t xml:space="preserve"> Инспекцией утверждённого приказа и плана-графика проверить совпадение наименования, шифра, исполнителя, номера и даты основания, а также календарных сроков. Проверка сроков заблокирована до предоставления утверждённого плана-графика.</w:t>
      </w:r>
    </w:p>
    <w:p>
      <w:pPr>
        <w:jc w:val="center"/>
        <w:spacing w:before="280" w:after="200" w:line="300" w:lineRule="auto"/>
        <w:keepNext/>
      </w:pPr>
      <w:r>
        <w:rPr>
          <w:b/>
        </w:rPr>
        <w:t>2 Цель выполнения, наименование, назначение и область применения изделия</w:t>
      </w:r>
    </w:p>
    <w:p>
      <w:pPr>
        <w:jc w:val="both"/>
        <w:spacing w:before="0" w:after="120" w:line="300" w:lineRule="auto"/>
      </w:pPr>
      <w:r>
        <w:rPr>
          <w:b/>
        </w:rPr>
        <w:t>2.1</w:t>
      </w:r>
      <w:r>
        <w:rPr/>
        <w:t xml:space="preserve"> Цель СЧ ОКР — разработать субплату E2/E3 и функциональный модуль PDH, обеспечивающие подключение к платформе ДММП через коаксиальные линии двух независимых потоков E2 и одного потока E3, передачу TDM-over-Packet, джиттер-буферизацию и синхронизацию.</w:t>
      </w:r>
    </w:p>
    <w:p>
      <w:pPr>
        <w:jc w:val="both"/>
        <w:spacing w:before="0" w:after="120" w:line="300" w:lineRule="auto"/>
      </w:pPr>
      <w:r>
        <w:rPr>
          <w:b/>
        </w:rPr>
        <w:t>2.2</w:t>
      </w:r>
      <w:r>
        <w:rPr/>
        <w:t xml:space="preserve"> Изделие предназначено для применения на PDH-трактах 8 и 34 Мбит/с в энергетике, на железнодорожном транспорте и у магистральных операторов.</w:t>
      </w:r>
    </w:p>
    <w:p>
      <w:pPr>
        <w:jc w:val="both"/>
        <w:spacing w:before="0" w:after="120" w:line="300" w:lineRule="auto"/>
      </w:pPr>
      <w:r>
        <w:rPr>
          <w:b/>
        </w:rPr>
        <w:t>2.3</w:t>
      </w:r>
      <w:r>
        <w:rPr/>
        <w:t xml:space="preserve"> AMC должен устанавливаться на Carrier платформы ДММП.</w:t>
      </w:r>
    </w:p>
    <w:p>
      <w:pPr>
        <w:jc w:val="both"/>
        <w:spacing w:before="0" w:after="120" w:line="300" w:lineRule="auto"/>
      </w:pPr>
      <w:r>
        <w:rPr>
          <w:b/>
        </w:rPr>
        <w:t>2.4</w:t>
      </w:r>
      <w:r>
        <w:rPr/>
        <w:t xml:space="preserve"> Аппаратная часть должна включать сменную интерфейсную субплату, линейные интерфейсы, защиту, трансиверы и EEPROM Board ID.</w:t>
      </w:r>
    </w:p>
    <w:p>
      <w:pPr>
        <w:jc w:val="both"/>
        <w:spacing w:before="0" w:after="120" w:line="300" w:lineRule="auto"/>
      </w:pPr>
      <w:r>
        <w:rPr>
          <w:b/>
        </w:rPr>
        <w:t>2.5</w:t>
      </w:r>
      <w:r>
        <w:rPr/>
        <w:t xml:space="preserve"> Логическая часть должна быть выполнена в виде функционального модуля ПЛИС базовой платы. Функциональный модуль должен автоматически активироваться по Board ID субплаты.</w:t>
      </w:r>
    </w:p>
    <w:p>
      <w:pPr>
        <w:jc w:val="both"/>
        <w:spacing w:before="0" w:after="120" w:line="300" w:lineRule="auto"/>
        <w:ind w:left="180"/>
      </w:pPr>
      <w:r>
        <w:rPr>
          <w:b/>
        </w:rPr>
        <w:t>Проверка раздела 2.</w:t>
      </w:r>
      <w:r>
        <w:rPr/>
        <w:t xml:space="preserve"> Демонстрацией на Carrier платформы ДММП подтвердить распознавание установленной субплаты по Board ID, автоматическую активацию функционального модуля и доступность двух независимых сервисов E2 и одного сервиса E3.</w:t>
      </w:r>
    </w:p>
    <w:p>
      <w:pPr>
        <w:jc w:val="center"/>
        <w:spacing w:before="280" w:after="200" w:line="300" w:lineRule="auto"/>
        <w:keepNext/>
      </w:pPr>
      <w:r>
        <w:rPr>
          <w:b/>
        </w:rPr>
        <w:t>3 Технические требования к изделию</w:t>
      </w:r>
    </w:p>
    <w:p>
      <w:pPr>
        <w:jc w:val="left"/>
        <w:spacing w:before="220" w:after="140" w:line="300" w:lineRule="auto"/>
        <w:keepNext/>
      </w:pPr>
      <w:r>
        <w:rPr>
          <w:b/>
        </w:rPr>
        <w:t>3.1 Архитектура, разъёмы и кабели</w:t>
      </w:r>
    </w:p>
    <w:p>
      <w:pPr>
        <w:jc w:val="both"/>
        <w:spacing w:before="0" w:after="120" w:line="300" w:lineRule="auto"/>
      </w:pPr>
      <w:r>
        <w:rPr>
          <w:b/>
        </w:rPr>
        <w:t>3.1.1</w:t>
      </w:r>
      <w:r>
        <w:rPr/>
        <w:t xml:space="preserve"> Субплата должна соединяться с базовой платой через B2B.</w:t>
      </w:r>
    </w:p>
    <w:p>
      <w:pPr>
        <w:jc w:val="both"/>
        <w:spacing w:before="0" w:after="120" w:line="300" w:lineRule="auto"/>
      </w:pPr>
      <w:r>
        <w:rPr>
          <w:b/>
        </w:rPr>
        <w:t>3.1.2</w:t>
      </w:r>
      <w:r>
        <w:rPr/>
        <w:t xml:space="preserve"> На субплате должны быть установлены три экранированных вибростойких разъёма HARTING PushPull 09452812560 с замковой фиксацией: E2-1, E2-2 и E3-1.</w:t>
      </w:r>
    </w:p>
    <w:p>
      <w:pPr>
        <w:jc w:val="both"/>
        <w:spacing w:before="0" w:after="120" w:line="300" w:lineRule="auto"/>
      </w:pPr>
      <w:r>
        <w:rPr>
          <w:b/>
        </w:rPr>
        <w:t>3.1.3</w:t>
      </w:r>
      <w:r>
        <w:rPr/>
        <w:t xml:space="preserve"> Каждый разъём E2-1, E2-2 и E3-1 должен обслуживать отдельные передающую TX и приёмную RX коаксиальные цепи с волновым сопротивлением 75 Ом.</w:t>
      </w:r>
    </w:p>
    <w:p>
      <w:pPr>
        <w:jc w:val="both"/>
        <w:spacing w:before="0" w:after="120" w:line="300" w:lineRule="auto"/>
      </w:pPr>
      <w:r>
        <w:rPr>
          <w:b/>
        </w:rPr>
        <w:t>3.1.4</w:t>
      </w:r>
      <w:r>
        <w:rPr/>
        <w:t xml:space="preserve"> Субплата должна содержать ВЧ-трансформаторы, LIU, EEPROM с Board ID 0x03 и светодиоды.</w:t>
      </w:r>
    </w:p>
    <w:p>
      <w:pPr>
        <w:jc w:val="both"/>
        <w:spacing w:before="0" w:after="120" w:line="300" w:lineRule="auto"/>
      </w:pPr>
      <w:r>
        <w:rPr>
          <w:b/>
        </w:rPr>
        <w:t>3.1.5</w:t>
      </w:r>
      <w:r>
        <w:rPr/>
        <w:t xml:space="preserve"> Базовая плата должна предоставлять субплате напряжения питания +12 В и +3,3 В, MMC и тактирование, а также автоматически загружать bitstream PDH из Flash при распознавании Board ID 0x03.</w:t>
      </w:r>
    </w:p>
    <w:p>
      <w:pPr>
        <w:jc w:val="both"/>
        <w:spacing w:before="0" w:after="120" w:line="300" w:lineRule="auto"/>
      </w:pPr>
      <w:r>
        <w:rPr>
          <w:b/>
        </w:rPr>
        <w:t>3.1.6</w:t>
      </w:r>
      <w:r>
        <w:rPr/>
        <w:t xml:space="preserve"> В комплект поставки и РКД должны входить экранированные адаптеры HARTING PushPull → две вилки BNC 75 Ом или DIN 1.0/2.3 с маркировкой TX/RX.</w:t>
      </w:r>
    </w:p>
    <w:p>
      <w:pPr>
        <w:jc w:val="both"/>
        <w:spacing w:before="0" w:after="120" w:line="300" w:lineRule="auto"/>
      </w:pPr>
      <w:r>
        <w:rPr>
          <w:b/>
        </w:rPr>
        <w:t>3.1.7</w:t>
      </w:r>
      <w:r>
        <w:rPr/>
        <w:t xml:space="preserve"> Применение вилок BNC 50 Ом не допускается по причинам несоответствия импеданса и габаритов.</w:t>
      </w:r>
    </w:p>
    <w:p>
      <w:pPr>
        <w:jc w:val="both"/>
        <w:spacing w:before="0" w:after="120" w:line="300" w:lineRule="auto"/>
        <w:ind w:left="180"/>
      </w:pPr>
      <w:r>
        <w:rPr>
          <w:b/>
        </w:rPr>
        <w:t>Проверка 3.1.</w:t>
      </w:r>
      <w:r>
        <w:rPr/>
        <w:t xml:space="preserve"> Инспекцией субплаты, комплекта поставки и РКД проверить количество и обозначения разъёмов, раздельность TX/RX, импеданс 75 Ом, маркировку, наличие указанных узлов и отсутствие BNC 50 Ом. Демонстрацией проверить загрузку bitstream PDH из Flash при Board ID 0x03.</w:t>
      </w:r>
    </w:p>
    <w:p>
      <w:pPr>
        <w:jc w:val="left"/>
        <w:spacing w:before="220" w:after="140" w:line="300" w:lineRule="auto"/>
        <w:keepNext/>
      </w:pPr>
      <w:r>
        <w:rPr>
          <w:b/>
        </w:rPr>
        <w:t>3.2 Электрические параметры</w:t>
      </w:r>
    </w:p>
    <w:tbl>
      <w:tblPr>
        <w:tblW w:w="9000" w:type="dxa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w="3000" w:type="dxa"/>
            <w:vAlign w:val="top"/>
            <w:shd w:fill="D9E2F3"/>
          </w:tcPr>
          <w:p>
            <w:pPr>
              <w:jc w:val="center"/>
              <w:spacing w:before="0" w:after="120" w:line="300" w:lineRule="auto"/>
            </w:pPr>
            <w:r>
              <w:rPr/>
              <w:t>Параметр</w:t>
            </w:r>
          </w:p>
        </w:tc>
        <w:tc>
          <w:tcPr>
            <w:tcW w:w="3000" w:type="dxa"/>
            <w:vAlign w:val="top"/>
            <w:shd w:fill="D9E2F3"/>
          </w:tcPr>
          <w:p>
            <w:pPr>
              <w:jc w:val="center"/>
              <w:spacing w:before="0" w:after="120" w:line="300" w:lineRule="auto"/>
            </w:pPr>
            <w:r>
              <w:rPr/>
              <w:t>E2 (два порта)</w:t>
            </w:r>
          </w:p>
        </w:tc>
        <w:tc>
          <w:tcPr>
            <w:tcW w:w="3000" w:type="dxa"/>
            <w:vAlign w:val="top"/>
            <w:shd w:fill="D9E2F3"/>
          </w:tcPr>
          <w:p>
            <w:pPr>
              <w:jc w:val="center"/>
              <w:spacing w:before="0" w:after="120" w:line="300" w:lineRule="auto"/>
            </w:pPr>
            <w:r>
              <w:rPr/>
              <w:t>E3 (один порт)</w:t>
            </w:r>
          </w:p>
        </w:tc>
      </w:tr>
      <w:tr>
        <w:trPr>
          <w:cantSplit/>
        </w:trPr>
        <w:tc>
          <w:tcPr>
            <w:tcW w:w="300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/>
              <w:t>Скорость</w:t>
            </w:r>
          </w:p>
        </w:tc>
        <w:tc>
          <w:tcPr>
            <w:tcW w:w="300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/>
              <w:t>8448 кбит/с (8,448 Мбит/с) ±30 ppm</w:t>
            </w:r>
          </w:p>
        </w:tc>
        <w:tc>
          <w:tcPr>
            <w:tcW w:w="300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/>
              <w:t>34 368 кбит/с (34,368 Мбит/с) ±20 ppm</w:t>
            </w:r>
          </w:p>
        </w:tc>
      </w:tr>
      <w:tr>
        <w:trPr>
          <w:cantSplit/>
        </w:trPr>
        <w:tc>
          <w:tcPr>
            <w:tcW w:w="300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/>
              <w:t>Код и сопротивление</w:t>
            </w:r>
          </w:p>
        </w:tc>
        <w:tc>
          <w:tcPr>
            <w:tcW w:w="300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/>
              <w:t>HDB3, 75 Ом</w:t>
            </w:r>
          </w:p>
        </w:tc>
        <w:tc>
          <w:tcPr>
            <w:tcW w:w="300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/>
              <w:t>HDB3, 75 Ом</w:t>
            </w:r>
          </w:p>
        </w:tc>
      </w:tr>
      <w:tr>
        <w:trPr>
          <w:cantSplit/>
        </w:trPr>
        <w:tc>
          <w:tcPr>
            <w:tcW w:w="300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/>
              <w:t>Пиковое напряжение / длительность</w:t>
            </w:r>
          </w:p>
        </w:tc>
        <w:tc>
          <w:tcPr>
            <w:tcW w:w="300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/>
              <w:t>2,37 В / 59 нс</w:t>
            </w:r>
          </w:p>
        </w:tc>
        <w:tc>
          <w:tcPr>
            <w:tcW w:w="300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/>
              <w:t>1,0 В / 14,55 нс</w:t>
            </w:r>
          </w:p>
        </w:tc>
      </w:tr>
      <w:tr>
        <w:trPr>
          <w:cantSplit/>
        </w:trPr>
        <w:tc>
          <w:tcPr>
            <w:tcW w:w="300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/>
              <w:t>Возвратные потери входа/выхода</w:t>
            </w:r>
          </w:p>
        </w:tc>
        <w:tc>
          <w:tcPr>
            <w:tcW w:w="300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/>
              <w:t>≥18 дБ, 422–8448 кГц</w:t>
            </w:r>
          </w:p>
        </w:tc>
        <w:tc>
          <w:tcPr>
            <w:tcW w:w="300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/>
              <w:t>≥18 дБ, 1720–34 368 кГц</w:t>
            </w:r>
          </w:p>
        </w:tc>
      </w:tr>
      <w:tr>
        <w:trPr>
          <w:cantSplit/>
        </w:trPr>
        <w:tc>
          <w:tcPr>
            <w:tcW w:w="300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/>
              <w:t>Допустимое затухание кабеля</w:t>
            </w:r>
          </w:p>
        </w:tc>
        <w:tc>
          <w:tcPr>
            <w:tcW w:w="300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/>
              <w:t>до 6 дБ на 4224 кГц</w:t>
            </w:r>
          </w:p>
        </w:tc>
        <w:tc>
          <w:tcPr>
            <w:tcW w:w="300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/>
              <w:t>до 12 дБ на 17 184 кГц</w:t>
            </w:r>
          </w:p>
        </w:tc>
      </w:tr>
    </w:tbl>
    <w:p>
      <w:pPr>
        <w:jc w:val="both"/>
        <w:spacing w:before="0" w:after="120" w:line="300" w:lineRule="auto"/>
      </w:pPr>
      <w:r>
        <w:rPr>
          <w:b/>
        </w:rPr>
        <w:t>3.2.1</w:t>
      </w:r>
      <w:r>
        <w:rPr/>
        <w:t xml:space="preserve"> Каждый порт должен иметь трансформаторную гальваническую развязку и импульсную защиту.</w:t>
      </w:r>
    </w:p>
    <w:p>
      <w:pPr>
        <w:jc w:val="both"/>
        <w:spacing w:before="0" w:after="120" w:line="300" w:lineRule="auto"/>
      </w:pPr>
      <w:r>
        <w:rPr>
          <w:b/>
        </w:rPr>
        <w:t>3.2.2</w:t>
      </w:r>
      <w:r>
        <w:rPr/>
        <w:t xml:space="preserve"> Структура E2 должна соответствовать ITU-T G.704, структура E3 — ITU-T G.751, электрические параметры E2 и E3 — ITU-T G.703.</w:t>
      </w:r>
    </w:p>
    <w:p>
      <w:pPr>
        <w:jc w:val="both"/>
        <w:spacing w:before="0" w:after="120" w:line="300" w:lineRule="auto"/>
        <w:ind w:left="180"/>
      </w:pPr>
      <w:r>
        <w:rPr>
          <w:b/>
        </w:rPr>
        <w:t>Проверка 3.2.</w:t>
      </w:r>
      <w:r>
        <w:rPr/>
        <w:t xml:space="preserve"> Измерениями на каждом из двух портов E2 и одном порту E3 проверить скорость и её отклонение, код, сопротивление, пиковое напряжение, длительность импульса, возвратные потери во всём указанном диапазоне частот и работоспособность при указанном затухании кабеля. Инспекцией схемы и испытанием подтвердить гальваническую развязку и импульсную защиту. Погрешности средств измерений и параметры импульсного воздействия в исходных данных не заданы; соответствующие части ПМИ подлежат уточнению.</w:t>
      </w:r>
    </w:p>
    <w:p>
      <w:pPr>
        <w:jc w:val="left"/>
        <w:spacing w:before="220" w:after="140" w:line="300" w:lineRule="auto"/>
        <w:keepNext/>
      </w:pPr>
      <w:r>
        <w:rPr>
          <w:b/>
        </w:rPr>
        <w:t>3.3 Пакетная передача и безопасное поведение</w:t>
      </w:r>
    </w:p>
    <w:p>
      <w:pPr>
        <w:jc w:val="both"/>
        <w:spacing w:before="0" w:after="120" w:line="300" w:lineRule="auto"/>
      </w:pPr>
      <w:r>
        <w:rPr>
          <w:b/>
        </w:rPr>
        <w:t>3.3.1</w:t>
      </w:r>
      <w:r>
        <w:rPr/>
        <w:t xml:space="preserve"> Для E3 должна быть реализована передача SAToP по RFC 4553: полный поток с управляющим словом и контролем последовательности.</w:t>
      </w:r>
    </w:p>
    <w:p>
      <w:pPr>
        <w:jc w:val="both"/>
        <w:spacing w:before="0" w:after="120" w:line="300" w:lineRule="auto"/>
      </w:pPr>
      <w:r>
        <w:rPr>
          <w:b/>
        </w:rPr>
        <w:t>3.3.2</w:t>
      </w:r>
      <w:r>
        <w:rPr/>
        <w:t xml:space="preserve"> Для E2 должна быть реализована передача E2oP на архитектуре SAToP: полный поток с минимальной фиксированной задержкой. Числовое значение задержки в исходных данных не задано и подлежит установлению в ПМИ/уточнению заказчиком.</w:t>
      </w:r>
    </w:p>
    <w:p>
      <w:pPr>
        <w:jc w:val="both"/>
        <w:spacing w:before="0" w:after="120" w:line="300" w:lineRule="auto"/>
      </w:pPr>
      <w:r>
        <w:rPr>
          <w:b/>
        </w:rPr>
        <w:t>3.3.3</w:t>
      </w:r>
      <w:r>
        <w:rPr/>
        <w:t xml:space="preserve"> Пакетная передача должна использовать Fabric 10GbE и Strict Priority QoS.</w:t>
      </w:r>
    </w:p>
    <w:p>
      <w:pPr>
        <w:jc w:val="both"/>
        <w:spacing w:before="0" w:after="120" w:line="300" w:lineRule="auto"/>
      </w:pPr>
      <w:r>
        <w:rPr>
          <w:b/>
        </w:rPr>
        <w:t>3.3.4</w:t>
      </w:r>
      <w:r>
        <w:rPr/>
        <w:t xml:space="preserve"> Джиттер-буфер каждого сервиса должен настраиваться в диапазоне от 1 до 64 мс включительно.</w:t>
      </w:r>
    </w:p>
    <w:p>
      <w:pPr>
        <w:jc w:val="both"/>
        <w:spacing w:before="0" w:after="120" w:line="300" w:lineRule="auto"/>
      </w:pPr>
      <w:r>
        <w:rPr>
          <w:b/>
        </w:rPr>
        <w:t>3.3.5</w:t>
      </w:r>
      <w:r>
        <w:rPr/>
        <w:t xml:space="preserve"> При потере пакетов или аварии сети на соответствующем линейном выходе должен формироваться непрерывный AIS. AIS должен сохраняться на протяжении потери пакетов или аварии сети; условие и время восстановления нормального потока после устранения причины в исходных данных не заданы и подлежат уточнению.</w:t>
      </w:r>
    </w:p>
    <w:p>
      <w:pPr>
        <w:jc w:val="both"/>
        <w:spacing w:before="0" w:after="120" w:line="300" w:lineRule="auto"/>
        <w:ind w:left="180"/>
      </w:pPr>
      <w:r>
        <w:rPr>
          <w:b/>
        </w:rPr>
        <w:t>Проверка 3.3.</w:t>
      </w:r>
      <w:r>
        <w:rPr/>
        <w:t xml:space="preserve"> Испытанием каждого сервиса проверить передачу полного потока, управляющее слово и последовательность E3, пакетный тракт Fabric 10GbE, Strict Priority QoS и настройку джиттер-буфера в граничных значениях 1 и 64 мс. Разрывом пакетного тракта и внесением потерь пакетов проверить непрерывный AIS на соответствующем выходе и его сохранение до устранения аварии. Критерий допустимой потери пакетов, вызывающей AIS, и критерий восстановления требуют уточнения.</w:t>
      </w:r>
    </w:p>
    <w:p>
      <w:pPr>
        <w:jc w:val="left"/>
        <w:spacing w:before="220" w:after="140" w:line="300" w:lineRule="auto"/>
        <w:keepNext/>
      </w:pPr>
      <w:r>
        <w:rPr>
          <w:b/>
        </w:rPr>
        <w:t>3.4 Синхронизация</w:t>
      </w:r>
    </w:p>
    <w:p>
      <w:pPr>
        <w:jc w:val="both"/>
        <w:spacing w:before="0" w:after="120" w:line="300" w:lineRule="auto"/>
      </w:pPr>
      <w:r>
        <w:rPr>
          <w:b/>
        </w:rPr>
        <w:t>3.4.1</w:t>
      </w:r>
      <w:r>
        <w:rPr/>
        <w:t xml:space="preserve"> Функциональный модуль должен обеспечивать пересчёт TCLK 19,44 МГц в частоты 8,448 МГц и 34,368 МГц.</w:t>
      </w:r>
    </w:p>
    <w:p>
      <w:pPr>
        <w:jc w:val="both"/>
        <w:spacing w:before="0" w:after="120" w:line="300" w:lineRule="auto"/>
      </w:pPr>
      <w:r>
        <w:rPr>
          <w:b/>
        </w:rPr>
        <w:t>3.4.2</w:t>
      </w:r>
      <w:r>
        <w:rPr/>
        <w:t xml:space="preserve"> Должны поддерживаться ACR, DCR, Holdover и Loop timing.</w:t>
      </w:r>
    </w:p>
    <w:p>
      <w:pPr>
        <w:jc w:val="both"/>
        <w:spacing w:before="0" w:after="120" w:line="300" w:lineRule="auto"/>
      </w:pPr>
      <w:r>
        <w:rPr>
          <w:b/>
        </w:rPr>
        <w:t>3.4.3</w:t>
      </w:r>
      <w:r>
        <w:rPr/>
        <w:t xml:space="preserve"> Частота любого входного порта должна выдаваться в RX_CLK; ПЛИС/DPLL базовой платы должна преобразовывать RX_CLK в 19,44 МГц для TCLK.</w:t>
      </w:r>
    </w:p>
    <w:p>
      <w:pPr>
        <w:jc w:val="both"/>
        <w:spacing w:before="0" w:after="120" w:line="300" w:lineRule="auto"/>
      </w:pPr>
      <w:r>
        <w:rPr>
          <w:b/>
        </w:rPr>
        <w:t>3.4.4</w:t>
      </w:r>
      <w:r>
        <w:rPr/>
        <w:t xml:space="preserve"> Показатели джиттера и вандера должны соответствовать ITU-T G.823.</w:t>
      </w:r>
    </w:p>
    <w:p>
      <w:pPr>
        <w:jc w:val="both"/>
        <w:spacing w:before="0" w:after="120" w:line="300" w:lineRule="auto"/>
        <w:ind w:left="180"/>
      </w:pPr>
      <w:r>
        <w:rPr>
          <w:b/>
        </w:rPr>
        <w:t>Проверка 3.4.</w:t>
      </w:r>
      <w:r>
        <w:rPr/>
        <w:t xml:space="preserve"> Измерением проверить преобразование 19,44 МГц в обе заданные частоты и обратный путь от каждого входного порта через RX_CLK к TCLK. В каждом поддерживаемом режиме ACR, DCR, Holdover и Loop timing проверить активный источник тактирования и соответствие джиттера/вандера ITU-T G.823. Условия входа, переключения и восстановления для режимов ACR, DCR, Holdover и Loop timing исходными данными не заданы и должны быть определены до завершения ПМИ.</w:t>
      </w:r>
    </w:p>
    <w:p>
      <w:pPr>
        <w:jc w:val="left"/>
        <w:spacing w:before="220" w:after="140" w:line="300" w:lineRule="auto"/>
        <w:keepNext/>
      </w:pPr>
      <w:r>
        <w:rPr>
          <w:b/>
        </w:rPr>
        <w:t>3.5 Контроль и диагностика</w:t>
      </w:r>
    </w:p>
    <w:p>
      <w:pPr>
        <w:jc w:val="both"/>
        <w:spacing w:before="0" w:after="120" w:line="300" w:lineRule="auto"/>
      </w:pPr>
      <w:r>
        <w:rPr>
          <w:b/>
        </w:rPr>
        <w:t>3.5.1</w:t>
      </w:r>
      <w:r>
        <w:rPr/>
        <w:t xml:space="preserve"> Для каждого порта должны контролироваться LOS, AIS, BPV/CV HDB3, переполнение и опустошение джиттер-буфера.</w:t>
      </w:r>
    </w:p>
    <w:p>
      <w:pPr>
        <w:jc w:val="both"/>
        <w:spacing w:before="0" w:after="120" w:line="300" w:lineRule="auto"/>
      </w:pPr>
      <w:r>
        <w:rPr>
          <w:b/>
        </w:rPr>
        <w:t>3.5.2</w:t>
      </w:r>
      <w:r>
        <w:rPr/>
        <w:t xml:space="preserve"> Для каждого порта должны поддерживаться режимы Local Line Loopback, Payload Loopback и Packet Loopback.</w:t>
      </w:r>
    </w:p>
    <w:p>
      <w:pPr>
        <w:jc w:val="both"/>
        <w:spacing w:before="0" w:after="120" w:line="300" w:lineRule="auto"/>
      </w:pPr>
      <w:r>
        <w:rPr>
          <w:b/>
        </w:rPr>
        <w:t>3.5.3</w:t>
      </w:r>
      <w:r>
        <w:rPr/>
        <w:t xml:space="preserve"> Для каждого порта должны быть предусмотрены генератор и анализатор PRBS 2^23−1 для измерения BER.</w:t>
      </w:r>
    </w:p>
    <w:p>
      <w:pPr>
        <w:jc w:val="both"/>
        <w:spacing w:before="0" w:after="120" w:line="300" w:lineRule="auto"/>
        <w:ind w:left="180"/>
      </w:pPr>
      <w:r>
        <w:rPr>
          <w:b/>
        </w:rPr>
        <w:t>Проверка 3.5.</w:t>
      </w:r>
      <w:r>
        <w:rPr/>
        <w:t xml:space="preserve"> Последовательным внесением каждого доступного отказа/события проверить его обнаружение на каждом порту и отображение в РМО. Для каждого порта активировать каждый из трёх видов петли и подтвердить прохождение сигнала в соответствующей точке. Генератором/анализатором PRBS 2^23−1 подтвердить возможность измерения BER. Пороговые значения и правила очистки/фиксации диагностических состояний не заданы и подлежат уточнению.</w:t>
      </w:r>
    </w:p>
    <w:p>
      <w:pPr>
        <w:jc w:val="left"/>
        <w:spacing w:before="220" w:after="140" w:line="300" w:lineRule="auto"/>
        <w:keepNext/>
      </w:pPr>
      <w:r>
        <w:rPr>
          <w:b/>
        </w:rPr>
        <w:t>3.6 Энергопотребление и конструктивные требования</w:t>
      </w:r>
    </w:p>
    <w:p>
      <w:pPr>
        <w:jc w:val="both"/>
        <w:spacing w:before="0" w:after="120" w:line="300" w:lineRule="auto"/>
      </w:pPr>
      <w:r>
        <w:rPr>
          <w:b/>
        </w:rPr>
        <w:t>3.6.1</w:t>
      </w:r>
      <w:r>
        <w:rPr/>
        <w:t xml:space="preserve"> Потребляемая мощность субплаты должна быть ≤15 Вт.</w:t>
      </w:r>
    </w:p>
    <w:p>
      <w:pPr>
        <w:jc w:val="both"/>
        <w:spacing w:before="0" w:after="120" w:line="300" w:lineRule="auto"/>
      </w:pPr>
      <w:r>
        <w:rPr>
          <w:b/>
        </w:rPr>
        <w:t>3.6.2</w:t>
      </w:r>
      <w:r>
        <w:rPr/>
        <w:t xml:space="preserve"> Потребляемая мощность сборки должна быть ≤35 Вт.</w:t>
      </w:r>
    </w:p>
    <w:p>
      <w:pPr>
        <w:jc w:val="both"/>
        <w:spacing w:before="0" w:after="120" w:line="300" w:lineRule="auto"/>
      </w:pPr>
      <w:r>
        <w:rPr>
          <w:b/>
        </w:rPr>
        <w:t>3.6.3</w:t>
      </w:r>
      <w:r>
        <w:rPr/>
        <w:t xml:space="preserve"> Конструкция сборки должна соответствовать Single Full-size AMC.0 и иметь габариты 73,5 × 180,6 × 28,95 мм.</w:t>
      </w:r>
    </w:p>
    <w:p>
      <w:pPr>
        <w:jc w:val="both"/>
        <w:spacing w:before="0" w:after="120" w:line="300" w:lineRule="auto"/>
      </w:pPr>
      <w:r>
        <w:rPr>
          <w:b/>
        </w:rPr>
        <w:t>3.6.4</w:t>
      </w:r>
      <w:r>
        <w:rPr/>
        <w:t xml:space="preserve"> Межплатное крепление должно выполняться на 4–6 металлических стойках М2,5.</w:t>
      </w:r>
    </w:p>
    <w:p>
      <w:pPr>
        <w:jc w:val="both"/>
        <w:spacing w:before="0" w:after="120" w:line="300" w:lineRule="auto"/>
        <w:ind w:left="180"/>
      </w:pPr>
      <w:r>
        <w:rPr>
          <w:b/>
        </w:rPr>
        <w:t>Проверка 3.6.</w:t>
      </w:r>
      <w:r>
        <w:rPr/>
        <w:t xml:space="preserve"> Измерением при рабочем режиме проверить мощность субплаты и сборки; состав и режим нагрузки для измерения подлежат уточнению. Инспекцией и измерением проверить форм-фактор, каждое габаритное значение и крепление на 4–6 стойках М2,5.</w:t>
      </w:r>
    </w:p>
    <w:p>
      <w:pPr>
        <w:jc w:val="left"/>
        <w:spacing w:before="220" w:after="140" w:line="300" w:lineRule="auto"/>
        <w:keepNext/>
      </w:pPr>
      <w:r>
        <w:rPr>
          <w:b/>
        </w:rPr>
        <w:t>3.7 Стойкость к внешним воздействиям и электромагнитная совместимость</w:t>
      </w:r>
    </w:p>
    <w:p>
      <w:pPr>
        <w:jc w:val="both"/>
        <w:spacing w:before="0" w:after="120" w:line="300" w:lineRule="auto"/>
      </w:pPr>
      <w:r>
        <w:rPr>
          <w:b/>
        </w:rPr>
        <w:t>3.7.1</w:t>
      </w:r>
      <w:r>
        <w:rPr/>
        <w:t xml:space="preserve"> Изделие должно соответствовать ГОСТ РВ 20.39.304-98 для групп 1.1, 1.3 и 1.4.1, исполнение «О».</w:t>
      </w:r>
    </w:p>
    <w:p>
      <w:pPr>
        <w:jc w:val="both"/>
        <w:spacing w:before="0" w:after="120" w:line="300" w:lineRule="auto"/>
      </w:pPr>
      <w:r>
        <w:rPr>
          <w:b/>
        </w:rPr>
        <w:t>3.7.2</w:t>
      </w:r>
      <w:r>
        <w:rPr/>
        <w:t xml:space="preserve"> Рабочая температура должна составлять от −10 до +50 °C включительно; предельная температура — от −40 до +65 °C включительно.</w:t>
      </w:r>
    </w:p>
    <w:p>
      <w:pPr>
        <w:jc w:val="both"/>
        <w:spacing w:before="0" w:after="120" w:line="300" w:lineRule="auto"/>
      </w:pPr>
      <w:r>
        <w:rPr>
          <w:b/>
        </w:rPr>
        <w:t>3.7.3</w:t>
      </w:r>
      <w:r>
        <w:rPr/>
        <w:t xml:space="preserve"> Изделие должно выдерживать синусоидальную вибрацию 5g и удары 15g.</w:t>
      </w:r>
    </w:p>
    <w:p>
      <w:pPr>
        <w:jc w:val="both"/>
        <w:spacing w:before="0" w:after="120" w:line="300" w:lineRule="auto"/>
      </w:pPr>
      <w:r>
        <w:rPr>
          <w:b/>
        </w:rPr>
        <w:t>3.7.4</w:t>
      </w:r>
      <w:r>
        <w:rPr/>
        <w:t xml:space="preserve"> Радиопомехи должны соответствовать группе 1.1.1 ГОСТ В 25803-91.</w:t>
      </w:r>
    </w:p>
    <w:p>
      <w:pPr>
        <w:jc w:val="both"/>
        <w:spacing w:before="0" w:after="120" w:line="300" w:lineRule="auto"/>
        <w:ind w:left="180"/>
      </w:pPr>
      <w:r>
        <w:rPr>
          <w:b/>
        </w:rPr>
        <w:t>Проверка 3.7.</w:t>
      </w:r>
      <w:r>
        <w:rPr/>
        <w:t xml:space="preserve"> Испытаниями по указанным нормативным документам проверить работоспособность в границах рабочего диапазона, стойкость при предельных температурах, вибрации 5g и ударах 15g, а также радиопомехи. Частотные диапазоны, длительности и направления механических воздействий исходными данными отдельно не заданы; их следует принимать только из применимых положений указанных документов и зафиксировать в ПМИ.</w:t>
      </w:r>
    </w:p>
    <w:p>
      <w:pPr>
        <w:jc w:val="left"/>
        <w:spacing w:before="220" w:after="140" w:line="300" w:lineRule="auto"/>
        <w:keepNext/>
      </w:pPr>
      <w:r>
        <w:rPr>
          <w:b/>
        </w:rPr>
        <w:t>3.8 Надёжность</w:t>
      </w:r>
    </w:p>
    <w:p>
      <w:pPr>
        <w:jc w:val="both"/>
        <w:spacing w:before="0" w:after="120" w:line="300" w:lineRule="auto"/>
      </w:pPr>
      <w:r>
        <w:rPr>
          <w:b/>
        </w:rPr>
        <w:t>3.8.1</w:t>
      </w:r>
      <w:r>
        <w:rPr/>
        <w:t xml:space="preserve"> Средняя наработка на отказ (MTBF) должна быть не менее 15 000 ч.</w:t>
      </w:r>
    </w:p>
    <w:p>
      <w:pPr>
        <w:jc w:val="both"/>
        <w:spacing w:before="0" w:after="120" w:line="300" w:lineRule="auto"/>
      </w:pPr>
      <w:r>
        <w:rPr>
          <w:b/>
        </w:rPr>
        <w:t>3.8.2</w:t>
      </w:r>
      <w:r>
        <w:rPr/>
        <w:t xml:space="preserve"> Назначенный срок службы должен быть не менее 5 лет.</w:t>
      </w:r>
    </w:p>
    <w:p>
      <w:pPr>
        <w:jc w:val="both"/>
        <w:spacing w:before="0" w:after="120" w:line="300" w:lineRule="auto"/>
        <w:ind w:left="180"/>
      </w:pPr>
      <w:r>
        <w:rPr>
          <w:b/>
        </w:rPr>
        <w:t>Проверка 3.8.</w:t>
      </w:r>
      <w:r>
        <w:rPr/>
        <w:t xml:space="preserve"> Соответствие показателя MTBF подтвердить расчётом надёжности и/или испытаниями по утверждённой ПМИ; исходные данные не задают распределение, доверительную вероятность, критерии отказа и объём выборки. Назначенный срок службы подтвердить анализом РКД и результатов испытаний; режим эксплуатации и критерий предельного состояния требуют уточнения.</w:t>
      </w:r>
    </w:p>
    <w:p>
      <w:pPr>
        <w:jc w:val="center"/>
        <w:spacing w:before="280" w:after="200" w:line="300" w:lineRule="auto"/>
        <w:keepNext/>
      </w:pPr>
      <w:r>
        <w:rPr>
          <w:b/>
        </w:rPr>
        <w:t>4 Технико-экономические требования</w:t>
      </w:r>
    </w:p>
    <w:p>
      <w:pPr>
        <w:jc w:val="both"/>
        <w:spacing w:before="0" w:after="120" w:line="300" w:lineRule="auto"/>
      </w:pPr>
      <w:r>
        <w:rPr>
          <w:b/>
        </w:rPr>
        <w:t>4.1</w:t>
      </w:r>
      <w:r>
        <w:rPr/>
        <w:t xml:space="preserve"> Технико-экономические требования к изделию не предъявляются.</w:t>
      </w:r>
    </w:p>
    <w:p>
      <w:pPr>
        <w:jc w:val="center"/>
        <w:spacing w:before="280" w:after="200" w:line="300" w:lineRule="auto"/>
        <w:keepNext/>
      </w:pPr>
      <w:r>
        <w:rPr>
          <w:b/>
        </w:rPr>
        <w:t>5 Требования к видам обеспечения</w:t>
      </w:r>
    </w:p>
    <w:p>
      <w:pPr>
        <w:jc w:val="left"/>
        <w:spacing w:before="220" w:after="140" w:line="300" w:lineRule="auto"/>
        <w:keepNext/>
      </w:pPr>
      <w:r>
        <w:rPr>
          <w:b/>
        </w:rPr>
        <w:t>5.1 Требования к нормативно-техническому обеспечению</w:t>
      </w:r>
    </w:p>
    <w:p>
      <w:pPr>
        <w:jc w:val="both"/>
        <w:spacing w:before="0" w:after="120" w:line="300" w:lineRule="auto"/>
      </w:pPr>
      <w:r>
        <w:rPr>
          <w:b/>
        </w:rPr>
        <w:t>5.1.1</w:t>
      </w:r>
      <w:r>
        <w:rPr/>
        <w:t xml:space="preserve"> Разработка изделия, РКД, программной документации и ПМИ должна выполняться с применением документов, перечисленных в перечне применимых нормативных и справочных документов настоящего ТЗ, в относящейся к изделию части.</w:t>
      </w:r>
    </w:p>
    <w:p>
      <w:pPr>
        <w:jc w:val="both"/>
        <w:spacing w:before="0" w:after="120" w:line="300" w:lineRule="auto"/>
        <w:ind w:left="180"/>
      </w:pPr>
      <w:r>
        <w:rPr>
          <w:b/>
        </w:rPr>
        <w:t>Проверка 5.1.</w:t>
      </w:r>
      <w:r>
        <w:rPr/>
        <w:t xml:space="preserve"> Инспекцией РКД, программной документации и ПМИ проверить наличие применимых ссылок и прослеживаемость требований.</w:t>
      </w:r>
    </w:p>
    <w:p>
      <w:pPr>
        <w:jc w:val="left"/>
        <w:spacing w:before="220" w:after="140" w:line="300" w:lineRule="auto"/>
        <w:keepNext/>
      </w:pPr>
      <w:r>
        <w:rPr>
          <w:b/>
        </w:rPr>
        <w:t>5.2 Требования к метрологическому обеспечению</w:t>
      </w:r>
    </w:p>
    <w:p>
      <w:pPr>
        <w:jc w:val="both"/>
        <w:spacing w:before="0" w:after="120" w:line="300" w:lineRule="auto"/>
      </w:pPr>
      <w:r>
        <w:rPr>
          <w:b/>
        </w:rPr>
        <w:t>5.2.1</w:t>
      </w:r>
      <w:r>
        <w:rPr/>
        <w:t xml:space="preserve"> Должны быть предусмотрены средства и методики измерения формы и амплитуды импульсов по ITU-T G.703, возвратных потерь в тракте 75 Ом, джиттера по ITU-T G.823 и BER.</w:t>
      </w:r>
    </w:p>
    <w:p>
      <w:pPr>
        <w:jc w:val="both"/>
        <w:spacing w:before="0" w:after="120" w:line="300" w:lineRule="auto"/>
      </w:pPr>
      <w:r>
        <w:rPr>
          <w:b/>
        </w:rPr>
        <w:t>5.2.2</w:t>
      </w:r>
      <w:r>
        <w:rPr/>
        <w:t xml:space="preserve"> ПМИ должна сохранять все числовые критерии раздела 3.2; незаданные допуски, погрешности и характеристики средств измерений не должны вводиться без утверждённого источника.</w:t>
      </w:r>
    </w:p>
    <w:p>
      <w:pPr>
        <w:jc w:val="both"/>
        <w:spacing w:before="0" w:after="120" w:line="300" w:lineRule="auto"/>
        <w:ind w:left="180"/>
      </w:pPr>
      <w:r>
        <w:rPr>
          <w:b/>
        </w:rPr>
        <w:t>Проверка 5.2.</w:t>
      </w:r>
      <w:r>
        <w:rPr/>
        <w:t xml:space="preserve"> Метрологической экспертизой ПМИ проверить наличие метода, средства, точки измерения и критерия для каждого параметра; недостающие погрешности средств измерений являются блокирующими данными для окончательного выбора средств.</w:t>
      </w:r>
    </w:p>
    <w:p>
      <w:pPr>
        <w:jc w:val="left"/>
        <w:spacing w:before="220" w:after="140" w:line="300" w:lineRule="auto"/>
        <w:keepNext/>
      </w:pPr>
      <w:r>
        <w:rPr>
          <w:b/>
        </w:rPr>
        <w:t>5.3 Требования к диагностическому обеспечению</w:t>
      </w:r>
    </w:p>
    <w:p>
      <w:pPr>
        <w:jc w:val="both"/>
        <w:spacing w:before="0" w:after="120" w:line="300" w:lineRule="auto"/>
      </w:pPr>
      <w:r>
        <w:rPr>
          <w:b/>
        </w:rPr>
        <w:t>5.3.1</w:t>
      </w:r>
      <w:r>
        <w:rPr/>
        <w:t xml:space="preserve"> Диагностическое обеспечение должно регистрировать LOS, AIS и BPV и формировать сообщения и отчёты для РМО.</w:t>
      </w:r>
    </w:p>
    <w:p>
      <w:pPr>
        <w:jc w:val="both"/>
        <w:spacing w:before="0" w:after="120" w:line="300" w:lineRule="auto"/>
      </w:pPr>
      <w:r>
        <w:rPr>
          <w:b/>
        </w:rPr>
        <w:t>5.3.2</w:t>
      </w:r>
      <w:r>
        <w:rPr/>
        <w:t xml:space="preserve"> Диагностическое обеспечение должно поддерживать функции, установленные 3.5.</w:t>
      </w:r>
    </w:p>
    <w:p>
      <w:pPr>
        <w:jc w:val="both"/>
        <w:spacing w:before="0" w:after="120" w:line="300" w:lineRule="auto"/>
        <w:ind w:left="180"/>
      </w:pPr>
      <w:r>
        <w:rPr>
          <w:b/>
        </w:rPr>
        <w:t>Проверка 5.3.</w:t>
      </w:r>
      <w:r>
        <w:rPr/>
        <w:t xml:space="preserve"> Для каждого порта инициировать LOS, AIS и BPV и проверить регистрацию события, формирование сообщения и отражение в отчёте РМО. Формат, время хранения и правила очистки журнала исходными данными не заданы.</w:t>
      </w:r>
    </w:p>
    <w:p>
      <w:pPr>
        <w:jc w:val="left"/>
        <w:spacing w:before="220" w:after="140" w:line="300" w:lineRule="auto"/>
        <w:keepNext/>
      </w:pPr>
      <w:r>
        <w:rPr>
          <w:b/>
        </w:rPr>
        <w:t>5.4 Требования к программному и информационному обеспечению</w:t>
      </w:r>
    </w:p>
    <w:p>
      <w:pPr>
        <w:jc w:val="both"/>
        <w:spacing w:before="0" w:after="120" w:line="300" w:lineRule="auto"/>
      </w:pPr>
      <w:r>
        <w:rPr>
          <w:b/>
        </w:rPr>
        <w:t>5.4.1</w:t>
      </w:r>
      <w:r>
        <w:rPr/>
        <w:t xml:space="preserve"> Должен быть разработан bitstream функционального модуля PDH для размещения во Flash базовой платы.</w:t>
      </w:r>
    </w:p>
    <w:p>
      <w:pPr>
        <w:jc w:val="both"/>
        <w:spacing w:before="0" w:after="120" w:line="300" w:lineRule="auto"/>
      </w:pPr>
      <w:r>
        <w:rPr>
          <w:b/>
        </w:rPr>
        <w:t>5.4.2</w:t>
      </w:r>
      <w:r>
        <w:rPr/>
        <w:t xml:space="preserve"> Должны быть разработаны драйверы Linux и MIB для РМО.</w:t>
      </w:r>
    </w:p>
    <w:p>
      <w:pPr>
        <w:jc w:val="both"/>
        <w:spacing w:before="0" w:after="120" w:line="300" w:lineRule="auto"/>
      </w:pPr>
      <w:r>
        <w:rPr>
          <w:b/>
        </w:rPr>
        <w:t>5.4.3</w:t>
      </w:r>
      <w:r>
        <w:rPr/>
        <w:t xml:space="preserve"> Программные средства должны обеспечивать автоматическую загрузку bitstream согласно 3.1.5 и функции телеметрии и управления согласно разделу 8.</w:t>
      </w:r>
    </w:p>
    <w:p>
      <w:pPr>
        <w:jc w:val="both"/>
        <w:spacing w:before="0" w:after="120" w:line="300" w:lineRule="auto"/>
        <w:ind w:left="180"/>
      </w:pPr>
      <w:r>
        <w:rPr>
          <w:b/>
        </w:rPr>
        <w:t>Проверка 5.4.</w:t>
      </w:r>
      <w:r>
        <w:rPr/>
        <w:t xml:space="preserve"> Инспекцией состава программной документации и демонстрацией проверить наличие и загрузку bitstream, установку/работу драйверов Linux, доступность MIB и функций РМО.</w:t>
      </w:r>
    </w:p>
    <w:p>
      <w:pPr>
        <w:jc w:val="center"/>
        <w:spacing w:before="280" w:after="200" w:line="300" w:lineRule="auto"/>
        <w:keepNext/>
      </w:pPr>
      <w:r>
        <w:rPr>
          <w:b/>
        </w:rPr>
        <w:t>6 Требования к сырью, материалам и комплектующим изделиям</w:t>
      </w:r>
    </w:p>
    <w:p>
      <w:pPr>
        <w:jc w:val="both"/>
        <w:spacing w:before="0" w:after="120" w:line="300" w:lineRule="auto"/>
      </w:pPr>
      <w:r>
        <w:rPr>
          <w:b/>
        </w:rPr>
        <w:t>6.1</w:t>
      </w:r>
      <w:r>
        <w:rPr/>
        <w:t xml:space="preserve"> При выборе материалов и комплектующих должен обеспечиваться приоритет отечественных материалов и комплектующих с приёмкой ОТК.</w:t>
      </w:r>
    </w:p>
    <w:p>
      <w:pPr>
        <w:jc w:val="both"/>
        <w:spacing w:before="0" w:after="120" w:line="300" w:lineRule="auto"/>
      </w:pPr>
      <w:r>
        <w:rPr>
          <w:b/>
        </w:rPr>
        <w:t>6.2</w:t>
      </w:r>
      <w:r>
        <w:rPr/>
        <w:t xml:space="preserve"> При отсутствии отечественных аналогов допускается применение импортной ЭКБ промышленного температурного диапазона.</w:t>
      </w:r>
    </w:p>
    <w:p>
      <w:pPr>
        <w:jc w:val="both"/>
        <w:spacing w:before="0" w:after="120" w:line="300" w:lineRule="auto"/>
        <w:ind w:left="180"/>
      </w:pPr>
      <w:r>
        <w:rPr>
          <w:b/>
        </w:rPr>
        <w:t>Проверка раздела 6.</w:t>
      </w:r>
      <w:r>
        <w:rPr/>
        <w:t xml:space="preserve"> Инспекцией перечней элементов, ведомостей покупных изделий и документов входного контроля проверить происхождение, приёмку ОТК и, для импортной ЭКБ, документированное отсутствие отечественного аналога и промышленный температурный диапазон.</w:t>
      </w:r>
    </w:p>
    <w:p>
      <w:pPr>
        <w:jc w:val="center"/>
        <w:spacing w:before="280" w:after="200" w:line="300" w:lineRule="auto"/>
        <w:keepNext/>
      </w:pPr>
      <w:r>
        <w:rPr>
          <w:b/>
        </w:rPr>
        <w:t>7 Требования к консервации, упаковке и маркировке</w:t>
      </w:r>
    </w:p>
    <w:p>
      <w:pPr>
        <w:jc w:val="both"/>
        <w:spacing w:before="0" w:after="120" w:line="300" w:lineRule="auto"/>
      </w:pPr>
      <w:r>
        <w:rPr>
          <w:b/>
        </w:rPr>
        <w:t>7.1</w:t>
      </w:r>
      <w:r>
        <w:rPr/>
        <w:t xml:space="preserve"> На изделие должны быть нанесены децимальный номер, серийный номер и ревизия.</w:t>
      </w:r>
    </w:p>
    <w:p>
      <w:pPr>
        <w:jc w:val="both"/>
        <w:spacing w:before="0" w:after="120" w:line="300" w:lineRule="auto"/>
      </w:pPr>
      <w:r>
        <w:rPr>
          <w:b/>
        </w:rPr>
        <w:t>7.2</w:t>
      </w:r>
      <w:r>
        <w:rPr/>
        <w:t xml:space="preserve"> Разъёмы/порты должны иметь маркировку E2-1, E2-2 и E3-1; адаптеры должны иметь маркировку TX/RX.</w:t>
      </w:r>
    </w:p>
    <w:p>
      <w:pPr>
        <w:jc w:val="both"/>
        <w:spacing w:before="0" w:after="120" w:line="300" w:lineRule="auto"/>
      </w:pPr>
      <w:r>
        <w:rPr>
          <w:b/>
        </w:rPr>
        <w:t>7.3</w:t>
      </w:r>
      <w:r>
        <w:rPr/>
        <w:t xml:space="preserve"> Каждое изделие должно поставляться в индивидуальной таре с ESD-защитой.</w:t>
      </w:r>
    </w:p>
    <w:p>
      <w:pPr>
        <w:jc w:val="both"/>
        <w:spacing w:before="0" w:after="120" w:line="300" w:lineRule="auto"/>
      </w:pPr>
      <w:r>
        <w:rPr>
          <w:b/>
        </w:rPr>
        <w:t>7.4</w:t>
      </w:r>
      <w:r>
        <w:rPr/>
        <w:t xml:space="preserve"> Срок хранения изделия в заводской таре должен быть не менее 1 года по ГОСТ 15150.</w:t>
      </w:r>
    </w:p>
    <w:p>
      <w:pPr>
        <w:jc w:val="both"/>
        <w:spacing w:before="0" w:after="120" w:line="300" w:lineRule="auto"/>
      </w:pPr>
      <w:r>
        <w:rPr>
          <w:b/>
        </w:rPr>
        <w:t>7.5</w:t>
      </w:r>
      <w:r>
        <w:rPr/>
        <w:t xml:space="preserve"> Требования к условиям и способу консервации, не установленные настоящим ТЗ, — [уточнить до разработки упаковочной документации].</w:t>
      </w:r>
    </w:p>
    <w:p>
      <w:pPr>
        <w:jc w:val="both"/>
        <w:spacing w:before="0" w:after="120" w:line="300" w:lineRule="auto"/>
        <w:ind w:left="180"/>
      </w:pPr>
      <w:r>
        <w:rPr>
          <w:b/>
        </w:rPr>
        <w:t>Проверка раздела 7.</w:t>
      </w:r>
      <w:r>
        <w:rPr/>
        <w:t xml:space="preserve"> Инспекцией изделия, адаптеров, тары и упаковочной документации проверить содержание маркировки, индивидуальность тары и наличие ESD-защиты. Условия подтверждения срока хранения 1 год определяются применимыми положениями ГОСТ 15150 после уточнения категории условий хранения.</w:t>
      </w:r>
    </w:p>
    <w:p>
      <w:pPr>
        <w:jc w:val="center"/>
        <w:spacing w:before="280" w:after="200" w:line="300" w:lineRule="auto"/>
        <w:keepNext/>
      </w:pPr>
      <w:r>
        <w:rPr>
          <w:b/>
        </w:rPr>
        <w:t>8 Специальные требования</w:t>
      </w:r>
    </w:p>
    <w:p>
      <w:pPr>
        <w:jc w:val="both"/>
        <w:spacing w:before="0" w:after="120" w:line="300" w:lineRule="auto"/>
      </w:pPr>
      <w:r>
        <w:rPr>
          <w:b/>
        </w:rPr>
        <w:t>8.1</w:t>
      </w:r>
      <w:r>
        <w:rPr/>
        <w:t xml:space="preserve"> РМО на C++/Qt должно отображать мнемосхему портов, состояния LOS/AIS и BPV, состояния сервисов SAToP/E2oP и активный источник тактирования.</w:t>
      </w:r>
    </w:p>
    <w:p>
      <w:pPr>
        <w:jc w:val="both"/>
        <w:spacing w:before="0" w:after="120" w:line="300" w:lineRule="auto"/>
      </w:pPr>
      <w:r>
        <w:rPr>
          <w:b/>
        </w:rPr>
        <w:t>8.2</w:t>
      </w:r>
      <w:r>
        <w:rPr/>
        <w:t xml:space="preserve"> РМО должно обеспечивать команды включения и отключения передатчиков, настройки джиттер-буфера, управления петлями и PRBS.</w:t>
      </w:r>
    </w:p>
    <w:p>
      <w:pPr>
        <w:jc w:val="both"/>
        <w:spacing w:before="0" w:after="120" w:line="300" w:lineRule="auto"/>
      </w:pPr>
      <w:r>
        <w:rPr>
          <w:b/>
        </w:rPr>
        <w:t>8.3</w:t>
      </w:r>
      <w:r>
        <w:rPr/>
        <w:t xml:space="preserve"> Команда отключения передатчика должна приводить к прекращению передачи на выбранном порту; команда включения должна восстанавливать передачу при отсутствии иных аварийных условий. Время выполнения команд и поведение при конфликтующих аварийных состояниях исходными данными не заданы и подлежат уточнению.</w:t>
      </w:r>
    </w:p>
    <w:p>
      <w:pPr>
        <w:jc w:val="both"/>
        <w:spacing w:before="0" w:after="120" w:line="300" w:lineRule="auto"/>
        <w:ind w:left="180"/>
      </w:pPr>
      <w:r>
        <w:rPr>
          <w:b/>
        </w:rPr>
        <w:t>Проверка раздела 8.</w:t>
      </w:r>
      <w:r>
        <w:rPr/>
        <w:t xml:space="preserve"> Демонстрацией на каждом порту проверить все элементы мнемосхемы и телеметрии, изменение джиттер-буфера в диапазоне 1–64 мс, включение/отключение передатчика, каждый вид петли и PRBS. Для безопасного режима отдельно проверить, что отключённый передатчик не возобновляет передачу без команды включения; окончательный критерий восстановления при аварии зависит от уточнения 3.3.5 и 8.3.</w:t>
      </w:r>
    </w:p>
    <w:p>
      <w:r>
        <w:br w:type="page"/>
      </w:r>
    </w:p>
    <w:tbl>
      <w:tblPr>
        <w:tblW w:w="9000" w:type="dxa"/>
        <w:tblLayout w:type="fixed"/>
      </w:tblPr>
      <w:tblGrid>
        <w:gridCol w:w="9000"/>
      </w:tblGrid>
      <w:tr>
        <w:trPr>
          <w:cantSplit/>
        </w:trPr>
        <w:tc>
          <w:tcPr>
            <w:tcW w:w="900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>
                <w:b/>
              </w:rPr>
              <w:t>Разработал</w:t>
            </w:r>
            <w:r>
              <w:br/>
            </w:r>
            <w:r>
              <w:rPr/>
              <w:t>[должность, ООО «тушканчик»]</w:t>
            </w:r>
            <w:r>
              <w:br/>
            </w:r>
            <w:r>
              <w:br/>
            </w:r>
            <w:r>
              <w:rPr/>
              <w:t>__________ [инициалы, фамилия]</w:t>
            </w:r>
            <w:r>
              <w:br/>
            </w:r>
            <w:r>
              <w:rPr/>
              <w:t>«___» __________ 20__ г.</w:t>
            </w:r>
          </w:p>
        </w:tc>
      </w:tr>
    </w:tbl>
    <w:tbl>
      <w:tblPr>
        <w:tblW w:w="9000" w:type="dxa"/>
        <w:tblLayout w:type="fixed"/>
      </w:tblPr>
      <w:tblGrid>
        <w:gridCol w:w="4500"/>
        <w:gridCol w:w="4500"/>
      </w:tblGrid>
      <w:tr>
        <w:trPr>
          <w:cantSplit/>
        </w:trPr>
        <w:tc>
          <w:tcPr>
            <w:tcW w:w="450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>
                <w:b/>
              </w:rPr>
              <w:t>СОГЛАСОВАНО</w:t>
            </w:r>
            <w:r>
              <w:br/>
            </w:r>
            <w:r>
              <w:rPr/>
              <w:t>[должность, головной исполнитель ОКР]</w:t>
            </w:r>
            <w:r>
              <w:br/>
            </w:r>
            <w:r>
              <w:br/>
            </w:r>
            <w:r>
              <w:rPr/>
              <w:t>__________ [инициалы, фамилия]</w:t>
            </w:r>
            <w:r>
              <w:br/>
            </w:r>
            <w:r>
              <w:rPr/>
              <w:t>«___» __________ 20__ г.</w:t>
            </w:r>
          </w:p>
        </w:tc>
        <w:tc>
          <w:tcPr>
            <w:tcW w:w="4500" w:type="dxa"/>
            <w:vAlign w:val="top"/>
          </w:tcPr>
          <w:p>
            <w:pPr>
              <w:jc w:val="both"/>
              <w:spacing w:before="0" w:after="120" w:line="300" w:lineRule="auto"/>
            </w:pPr>
            <w:r>
              <w:rPr>
                <w:b/>
              </w:rPr>
              <w:t>СОГЛАСОВАНО</w:t>
            </w:r>
            <w:r>
              <w:br/>
            </w:r>
            <w:r>
              <w:rPr/>
              <w:t>[должность, другая согласующая организация]</w:t>
            </w:r>
            <w:r>
              <w:br/>
            </w:r>
            <w:r>
              <w:br/>
            </w:r>
            <w:r>
              <w:rPr/>
              <w:t>__________ [инициалы, фамилия]</w:t>
            </w:r>
            <w:r>
              <w:br/>
            </w:r>
            <w:r>
              <w:rPr/>
              <w:t>«___» __________ 20__ г.</w:t>
            </w:r>
          </w:p>
        </w:tc>
      </w:tr>
    </w:tbl>
    <w:p>
      <w:pPr>
        <w:jc w:val="both"/>
        <w:spacing w:before="0" w:after="120" w:line="300" w:lineRule="auto"/>
        <w:ind w:left="180"/>
      </w:pPr>
      <w:r>
        <w:rPr/>
        <w:t>Состав и реквизиты подписантов подлежат уточнению. Условные подписи и даты не являются подтверждёнными сведениями.</w:t>
      </w:r>
    </w:p>
    <w:sectPr>
      <w:headerReference w:type="default" r:id="rId1"/>
      <w:pgSz w:w="11906" w:h="16838"/>
      <w:pgMar w:top="1134" w:right="1021" w:bottom="1134" w:left="1417" w:header="567" w:footer="567"/>
      <w:cols w:space="708"/>
      <w:docGrid w:linePitch="360"/>
    </w:sectPr>
  </w:body>
</w:document>
</file>

<file path=word/header1.xml><?xml version="1.0" encoding="utf-8"?>
<w:hdr xmlns:w="http://schemas.openxmlformats.org/wordprocessingml/2006/main">
  <w:p>
    <w:pPr>
      <w:jc w:val="right"/>
    </w:pPr>
    <w:r>
      <w:fldChar w:fldCharType="begin"/>
    </w:r>
    <w:r>
      <w:instrText> PAGE </w:instrText>
    </w:r>
    <w:r>
      <w:fldChar w:fldCharType="end"/>
    </w:r>
  </w:p>
</w:hdr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4"/>
        <w:lang w:val="ru-RU"/>
      </w:rPr>
    </w:rPrDefault>
    <w:pPrDefault>
      <w:pPr>
        <w:spacing w:after="120"/>
      </w:pPr>
    </w:p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Codex OOXML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Техническое задание на СЧ ОКР «Развитие-ТСА»</dc:title>
  <dc:creator>ООО «тушканчик»</dc:creator>
  <dcterms:created xsi:type="dcterms:W3CDTF">2026-10-04T19:00:12Z</dcterms:created>
</cp:coreProperties>
</file>