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tbl>
      <w:tblPr>
        <w:tblW w:w="0" w:type="auto"/>
      </w:tblPr>
      <w:tr>
        <w:tc>
          <w:tcPr>
            <w:tcW w:w="0" w:type="auto"/>
          </w:tcPr>
          <w:p>
            <w:pPr>
              <w:pStyle w:val="TableText"/>
              <w:jc w:val="both"/>
            </w:pPr>
            <w:r>
              <w:rPr>
                <w:b/>
              </w:rPr>
              <w:t xml:space="preserve">СОГЛАСОВАНО</w:t>
            </w:r>
            <w:r>
              <w:br/>
            </w:r>
            <w:r>
              <w:br/>
            </w:r>
            <w:r>
              <w:rPr/>
              <w:t xml:space="preserve">Заказчик (НИО заказчика)</w:t>
            </w:r>
            <w:r>
              <w:br/>
            </w:r>
            <w:r>
              <w:rPr/>
              <w:t xml:space="preserve">[уточнить]</w:t>
            </w:r>
            <w:r>
              <w:br/>
            </w:r>
            <w:r>
              <w:br/>
            </w:r>
            <w:r>
              <w:rPr/>
              <w:t xml:space="preserve">______________ [уточнить]</w:t>
            </w:r>
            <w:r>
              <w:br/>
            </w:r>
            <w:r>
              <w:br/>
            </w:r>
            <w:r>
              <w:rPr/>
              <w:t xml:space="preserve">[уточнить]</w:t>
            </w:r>
          </w:p>
        </w:tc>
        <w:tc>
          <w:tcPr>
            <w:tcW w:w="0" w:type="auto"/>
          </w:tcPr>
          <w:p>
            <w:pPr>
              <w:pStyle w:val="TableText"/>
              <w:jc w:val="both"/>
            </w:pPr>
            <w:r>
              <w:rPr>
                <w:b/>
              </w:rPr>
              <w:t xml:space="preserve">СОГЛАСОВАНО</w:t>
            </w:r>
            <w:r>
              <w:br/>
            </w:r>
            <w:r>
              <w:br/>
            </w:r>
            <w:r>
              <w:rPr/>
              <w:t xml:space="preserve">Исполнитель составной части ОКР</w:t>
            </w:r>
            <w:r>
              <w:br/>
            </w:r>
            <w:r>
              <w:rPr/>
              <w:t xml:space="preserve">ООО «тушканчик»</w:t>
            </w:r>
            <w:r>
              <w:br/>
            </w:r>
            <w:r>
              <w:br/>
            </w:r>
            <w:r>
              <w:rPr/>
              <w:t xml:space="preserve">______________ [уточнить]</w:t>
            </w:r>
            <w:r>
              <w:br/>
            </w:r>
            <w:r>
              <w:br/>
            </w:r>
            <w:r>
              <w:rPr/>
              <w:t xml:space="preserve">[уточнить]</w:t>
            </w:r>
          </w:p>
        </w:tc>
        <w:tc>
          <w:tcPr>
            <w:tcW w:w="0" w:type="auto"/>
          </w:tcPr>
          <w:p>
            <w:pPr>
              <w:pStyle w:val="TableText"/>
              <w:jc w:val="both"/>
            </w:pPr>
            <w:r>
              <w:rPr>
                <w:b/>
              </w:rPr>
              <w:t xml:space="preserve">УТВЕРЖДАЮ</w:t>
            </w:r>
            <w:r>
              <w:br/>
            </w:r>
            <w:r>
              <w:br/>
            </w:r>
            <w:r>
              <w:rPr/>
              <w:t xml:space="preserve">Головной исполнитель ОКР</w:t>
            </w:r>
            <w:r>
              <w:br/>
            </w:r>
            <w:r>
              <w:rPr/>
              <w:t xml:space="preserve">[уточнить]</w:t>
            </w:r>
            <w:r>
              <w:br/>
            </w:r>
            <w:r>
              <w:br/>
            </w:r>
            <w:r>
              <w:rPr/>
              <w:t xml:space="preserve">______________ [уточнить]</w:t>
            </w:r>
            <w:r>
              <w:br/>
            </w:r>
            <w:r>
              <w:br/>
            </w:r>
            <w:r>
              <w:rPr/>
              <w:t xml:space="preserve">[уточнить]</w:t>
            </w:r>
          </w:p>
        </w:tc>
      </w:tr>
    </w:tbl>
    <w:p>
      <w:pPr>
        <w:jc w:val="center"/>
      </w:pPr>
      <w:r>
        <w:rPr>
          <w:b/>
        </w:rPr>
        <w:t xml:space="preserve">ТЕХНИЧЕСКОЕ ЗАДАНИЕ</w:t>
      </w:r>
    </w:p>
    <w:p>
      <w:pPr>
        <w:jc w:val="center"/>
      </w:pPr>
      <w:r>
        <w:rPr>
          <w:b/>
        </w:rPr>
        <w:t xml:space="preserve">НА СОСТАВНУЮ ЧАСТЬ ОПЫТНО-КОНСТРУКТОРСКОЙ РАБОТЫ</w:t>
      </w:r>
    </w:p>
    <w:p>
      <w:pPr>
        <w:jc w:val="center"/>
      </w:pPr>
      <w:r>
        <w:rPr>
          <w:b/>
        </w:rPr>
        <w:t xml:space="preserve">Разработка сменной интерфейсной субплаты E2/E3</w:t>
      </w:r>
      <w:r>
        <w:br/>
      </w:r>
      <w:r>
        <w:rPr>
          <w:b/>
        </w:rPr>
        <w:t xml:space="preserve">и функционального модуля PDH для AMC ДММП</w:t>
      </w:r>
    </w:p>
    <w:p>
      <w:pPr>
        <w:jc w:val="center"/>
      </w:pPr>
      <w:r>
        <w:rPr/>
        <w:t xml:space="preserve">Шифр ОКР «Развитие-ТСА»</w:t>
      </w:r>
    </w:p>
    <w:p>
      <w:pPr>
        <w:jc w:val="center"/>
      </w:pPr>
      <w:r>
        <w:rPr/>
        <w:t xml:space="preserve">Обозначение составной части изделия: [уточнить]</w:t>
      </w:r>
    </w:p>
    <w:p>
      <w:pPr>
        <w:jc w:val="center"/>
      </w:pPr>
      <w:r>
        <w:rPr/>
        <w:t xml:space="preserve">[уточнить] — [уточнить]</w:t>
      </w:r>
    </w:p>
    <w:p>
      <w:r>
        <w:br w:type="page"/>
      </w:r>
    </w:p>
    <w:p>
      <w:pPr>
        <w:pageBreakBefore/>
        <w:pStyle w:val="Heading1"/>
        <w:jc w:val="both"/>
      </w:pPr>
      <w:r>
        <w:rPr/>
        <w:t xml:space="preserve">Лист согласования</w:t>
      </w:r>
    </w:p>
    <w:tbl>
      <w:tblPr>
        <w:tblW w:w="0" w:type="auto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r>
        <w:tc>
          <w:tcPr>
            <w:tcW w:w="0" w:type="auto"/>
          </w:tcPr>
          <w:p>
            <w:pPr>
              <w:pStyle w:val="TableHeader"/>
              <w:jc w:val="both"/>
            </w:pPr>
            <w:r>
              <w:rPr>
                <w:b/>
              </w:rPr>
              <w:t xml:space="preserve">Организация</w:t>
            </w:r>
          </w:p>
        </w:tc>
        <w:tc>
          <w:tcPr>
            <w:tcW w:w="0" w:type="auto"/>
          </w:tcPr>
          <w:p>
            <w:pPr>
              <w:pStyle w:val="TableHeader"/>
              <w:jc w:val="both"/>
            </w:pPr>
            <w:r>
              <w:rPr>
                <w:b/>
              </w:rPr>
              <w:t xml:space="preserve">Должность</w:t>
            </w:r>
          </w:p>
        </w:tc>
        <w:tc>
          <w:tcPr>
            <w:tcW w:w="0" w:type="auto"/>
          </w:tcPr>
          <w:p>
            <w:pPr>
              <w:pStyle w:val="TableHeader"/>
              <w:jc w:val="both"/>
            </w:pPr>
            <w:r>
              <w:rPr>
                <w:b/>
              </w:rPr>
              <w:t xml:space="preserve">Фамилия, инициалы</w:t>
            </w:r>
          </w:p>
        </w:tc>
        <w:tc>
          <w:tcPr>
            <w:tcW w:w="0" w:type="auto"/>
          </w:tcPr>
          <w:p>
            <w:pPr>
              <w:pStyle w:val="TableHeader"/>
              <w:jc w:val="both"/>
            </w:pPr>
            <w:r>
              <w:rPr>
                <w:b/>
              </w:rPr>
              <w:t xml:space="preserve">Подпись</w:t>
            </w:r>
          </w:p>
        </w:tc>
        <w:tc>
          <w:tcPr>
            <w:tcW w:w="0" w:type="auto"/>
          </w:tcPr>
          <w:p>
            <w:pPr>
              <w:pStyle w:val="TableHeader"/>
              <w:jc w:val="both"/>
            </w:pPr>
            <w:r>
              <w:rPr>
                <w:b/>
              </w:rPr>
              <w:t xml:space="preserve">Дата</w:t>
            </w:r>
          </w:p>
        </w:tc>
      </w:tr>
      <w:tr>
        <w:tc>
          <w:tcPr>
            <w:tcW w:w="0" w:type="auto"/>
          </w:tcPr>
          <w:p>
            <w:pPr>
              <w:pStyle w:val="TableText"/>
              <w:jc w:val="both"/>
            </w:pPr>
            <w:r>
              <w:rPr/>
              <w:t xml:space="preserve">Заказчик (НИО заказчика)</w:t>
            </w:r>
          </w:p>
        </w:tc>
        <w:tc>
          <w:tcPr>
            <w:tcW w:w="0" w:type="auto"/>
          </w:tcPr>
          <w:p>
            <w:pPr>
              <w:pStyle w:val="TableText"/>
              <w:jc w:val="both"/>
            </w:pPr>
            <w:r>
              <w:rPr/>
              <w:t xml:space="preserve">[уточнить]</w:t>
            </w:r>
          </w:p>
        </w:tc>
        <w:tc>
          <w:tcPr>
            <w:tcW w:w="0" w:type="auto"/>
          </w:tcPr>
          <w:p>
            <w:pPr>
              <w:pStyle w:val="TableText"/>
              <w:jc w:val="both"/>
            </w:pPr>
            <w:r>
              <w:rPr/>
              <w:t xml:space="preserve">[уточнить]</w:t>
            </w:r>
          </w:p>
        </w:tc>
        <w:tc>
          <w:tcPr>
            <w:tcW w:w="0" w:type="auto"/>
          </w:tcPr>
          <w:p>
            <w:pPr>
              <w:pStyle w:val="TableText"/>
              <w:jc w:val="both"/>
            </w:pPr>
            <w:r>
              <w:rPr/>
              <w:t xml:space="preserve">____________</w:t>
            </w:r>
          </w:p>
        </w:tc>
        <w:tc>
          <w:tcPr>
            <w:tcW w:w="0" w:type="auto"/>
          </w:tcPr>
          <w:p>
            <w:pPr>
              <w:pStyle w:val="TableText"/>
              <w:jc w:val="both"/>
            </w:pPr>
            <w:r>
              <w:rPr/>
              <w:t xml:space="preserve">[уточнить]</w:t>
            </w:r>
          </w:p>
        </w:tc>
      </w:tr>
      <w:tr>
        <w:tc>
          <w:tcPr>
            <w:tcW w:w="0" w:type="auto"/>
          </w:tcPr>
          <w:p>
            <w:pPr>
              <w:pStyle w:val="TableText"/>
              <w:jc w:val="both"/>
            </w:pPr>
            <w:r>
              <w:rPr/>
              <w:t xml:space="preserve">ООО «тушканчик», исполнитель составной части ОКР</w:t>
            </w:r>
          </w:p>
        </w:tc>
        <w:tc>
          <w:tcPr>
            <w:tcW w:w="0" w:type="auto"/>
          </w:tcPr>
          <w:p>
            <w:pPr>
              <w:pStyle w:val="TableText"/>
              <w:jc w:val="both"/>
            </w:pPr>
            <w:r>
              <w:rPr/>
              <w:t xml:space="preserve">[уточнить]</w:t>
            </w:r>
          </w:p>
        </w:tc>
        <w:tc>
          <w:tcPr>
            <w:tcW w:w="0" w:type="auto"/>
          </w:tcPr>
          <w:p>
            <w:pPr>
              <w:pStyle w:val="TableText"/>
              <w:jc w:val="both"/>
            </w:pPr>
            <w:r>
              <w:rPr/>
              <w:t xml:space="preserve">[уточнить]</w:t>
            </w:r>
          </w:p>
        </w:tc>
        <w:tc>
          <w:tcPr>
            <w:tcW w:w="0" w:type="auto"/>
          </w:tcPr>
          <w:p>
            <w:pPr>
              <w:pStyle w:val="TableText"/>
              <w:jc w:val="both"/>
            </w:pPr>
            <w:r>
              <w:rPr/>
              <w:t xml:space="preserve">____________</w:t>
            </w:r>
          </w:p>
        </w:tc>
        <w:tc>
          <w:tcPr>
            <w:tcW w:w="0" w:type="auto"/>
          </w:tcPr>
          <w:p>
            <w:pPr>
              <w:pStyle w:val="TableText"/>
              <w:jc w:val="both"/>
            </w:pPr>
            <w:r>
              <w:rPr/>
              <w:t xml:space="preserve">[уточнить]</w:t>
            </w:r>
          </w:p>
        </w:tc>
      </w:tr>
      <w:tr>
        <w:tc>
          <w:tcPr>
            <w:tcW w:w="0" w:type="auto"/>
          </w:tcPr>
          <w:p>
            <w:pPr>
              <w:pStyle w:val="TableText"/>
              <w:jc w:val="both"/>
            </w:pPr>
            <w:r>
              <w:rPr/>
              <w:t xml:space="preserve">Головной исполнитель ОКР</w:t>
            </w:r>
          </w:p>
        </w:tc>
        <w:tc>
          <w:tcPr>
            <w:tcW w:w="0" w:type="auto"/>
          </w:tcPr>
          <w:p>
            <w:pPr>
              <w:pStyle w:val="TableText"/>
              <w:jc w:val="both"/>
            </w:pPr>
            <w:r>
              <w:rPr/>
              <w:t xml:space="preserve">[уточнить]</w:t>
            </w:r>
          </w:p>
        </w:tc>
        <w:tc>
          <w:tcPr>
            <w:tcW w:w="0" w:type="auto"/>
          </w:tcPr>
          <w:p>
            <w:pPr>
              <w:pStyle w:val="TableText"/>
              <w:jc w:val="both"/>
            </w:pPr>
            <w:r>
              <w:rPr/>
              <w:t xml:space="preserve">[уточнить]</w:t>
            </w:r>
          </w:p>
        </w:tc>
        <w:tc>
          <w:tcPr>
            <w:tcW w:w="0" w:type="auto"/>
          </w:tcPr>
          <w:p>
            <w:pPr>
              <w:pStyle w:val="TableText"/>
              <w:jc w:val="both"/>
            </w:pPr>
            <w:r>
              <w:rPr/>
              <w:t xml:space="preserve">____________</w:t>
            </w:r>
          </w:p>
        </w:tc>
        <w:tc>
          <w:tcPr>
            <w:tcW w:w="0" w:type="auto"/>
          </w:tcPr>
          <w:p>
            <w:pPr>
              <w:pStyle w:val="TableText"/>
              <w:jc w:val="both"/>
            </w:pPr>
            <w:r>
              <w:rPr/>
              <w:t xml:space="preserve">[уточнить]</w:t>
            </w:r>
          </w:p>
        </w:tc>
      </w:tr>
      <w:tr>
        <w:tc>
          <w:tcPr>
            <w:tcW w:w="0" w:type="auto"/>
          </w:tcPr>
          <w:p>
            <w:pPr>
              <w:pStyle w:val="TableText"/>
              <w:jc w:val="both"/>
            </w:pPr>
            <w:r>
              <w:rPr/>
              <w:t xml:space="preserve">Иная согласующая организация (при решении заказчика или головного исполнителя ОКР)</w:t>
            </w:r>
          </w:p>
        </w:tc>
        <w:tc>
          <w:tcPr>
            <w:tcW w:w="0" w:type="auto"/>
          </w:tcPr>
          <w:p>
            <w:pPr>
              <w:pStyle w:val="TableText"/>
              <w:jc w:val="both"/>
            </w:pPr>
            <w:r>
              <w:rPr/>
              <w:t xml:space="preserve">[уточнить]</w:t>
            </w:r>
          </w:p>
        </w:tc>
        <w:tc>
          <w:tcPr>
            <w:tcW w:w="0" w:type="auto"/>
          </w:tcPr>
          <w:p>
            <w:pPr>
              <w:pStyle w:val="TableText"/>
              <w:jc w:val="both"/>
            </w:pPr>
            <w:r>
              <w:rPr/>
              <w:t xml:space="preserve">[уточнить]</w:t>
            </w:r>
          </w:p>
        </w:tc>
        <w:tc>
          <w:tcPr>
            <w:tcW w:w="0" w:type="auto"/>
          </w:tcPr>
          <w:p>
            <w:pPr>
              <w:pStyle w:val="TableText"/>
              <w:jc w:val="both"/>
            </w:pPr>
            <w:r>
              <w:rPr/>
              <w:t xml:space="preserve">____________</w:t>
            </w:r>
          </w:p>
        </w:tc>
        <w:tc>
          <w:tcPr>
            <w:tcW w:w="0" w:type="auto"/>
          </w:tcPr>
          <w:p>
            <w:pPr>
              <w:pStyle w:val="TableText"/>
              <w:jc w:val="both"/>
            </w:pPr>
            <w:r>
              <w:rPr/>
              <w:t xml:space="preserve">[уточнить]</w:t>
            </w:r>
          </w:p>
        </w:tc>
      </w:tr>
    </w:tbl>
    <w:p>
      <w:pPr>
        <w:jc w:val="both"/>
      </w:pPr>
      <w:r>
        <w:rPr/>
        <w:t xml:space="preserve">Примечание — Согласование может быть оформлено отдельным документом; реквизиты такого документа в исходных данных не приведены.</w:t>
      </w:r>
    </w:p>
    <w:p>
      <w:pPr>
        <w:pStyle w:val="Heading1"/>
        <w:jc w:val="both"/>
      </w:pPr>
      <w:r>
        <w:rPr/>
        <w:t xml:space="preserve">Перечень обозначений и сокращений</w:t>
      </w:r>
    </w:p>
    <w:tbl>
      <w:tblPr>
        <w:tblW w:w="0" w:type="auto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r>
        <w:tc>
          <w:tcPr>
            <w:tcW w:w="0" w:type="auto"/>
          </w:tcPr>
          <w:p>
            <w:pPr>
              <w:pStyle w:val="TableHeader"/>
              <w:jc w:val="both"/>
            </w:pPr>
            <w:r>
              <w:rPr>
                <w:b/>
              </w:rPr>
              <w:t xml:space="preserve">Сокращение (термин)</w:t>
            </w:r>
          </w:p>
        </w:tc>
        <w:tc>
          <w:tcPr>
            <w:tcW w:w="0" w:type="auto"/>
          </w:tcPr>
          <w:p>
            <w:pPr>
              <w:pStyle w:val="TableHeader"/>
              <w:jc w:val="both"/>
            </w:pPr>
            <w:r>
              <w:rPr>
                <w:b/>
              </w:rPr>
              <w:t xml:space="preserve">Расшифровка / значение</w:t>
            </w:r>
          </w:p>
        </w:tc>
      </w:tr>
      <w:tr>
        <w:tc>
          <w:tcPr>
            <w:tcW w:w="0" w:type="auto"/>
          </w:tcPr>
          <w:p>
            <w:pPr>
              <w:pStyle w:val="TableText"/>
              <w:jc w:val="both"/>
            </w:pPr>
            <w:r>
              <w:rPr/>
              <w:t xml:space="preserve">AMC</w:t>
            </w:r>
          </w:p>
        </w:tc>
        <w:tc>
          <w:tcPr>
            <w:tcW w:w="0" w:type="auto"/>
          </w:tcPr>
          <w:p>
            <w:pPr>
              <w:pStyle w:val="TableText"/>
              <w:jc w:val="both"/>
            </w:pPr>
            <w:r>
              <w:rPr/>
              <w:t xml:space="preserve">Advanced Mezzanine Card — модуль AdvancedMC; в настоящем ТЗ — модуль для Carrier платформы ДММП.</w:t>
            </w:r>
          </w:p>
        </w:tc>
      </w:tr>
      <w:tr>
        <w:tc>
          <w:tcPr>
            <w:tcW w:w="0" w:type="auto"/>
          </w:tcPr>
          <w:p>
            <w:pPr>
              <w:pStyle w:val="TableText"/>
              <w:jc w:val="both"/>
            </w:pPr>
            <w:r>
              <w:rPr/>
              <w:t xml:space="preserve">PDH</w:t>
            </w:r>
          </w:p>
        </w:tc>
        <w:tc>
          <w:tcPr>
            <w:tcW w:w="0" w:type="auto"/>
          </w:tcPr>
          <w:p>
            <w:pPr>
              <w:pStyle w:val="TableText"/>
              <w:jc w:val="both"/>
            </w:pPr>
            <w:r>
              <w:rPr/>
              <w:t xml:space="preserve">Plesiochronous Digital Hierarchy — плезиохронная цифровая иерархия.</w:t>
            </w:r>
          </w:p>
        </w:tc>
      </w:tr>
      <w:tr>
        <w:tc>
          <w:tcPr>
            <w:tcW w:w="0" w:type="auto"/>
          </w:tcPr>
          <w:p>
            <w:pPr>
              <w:pStyle w:val="TableText"/>
              <w:jc w:val="both"/>
            </w:pPr>
            <w:r>
              <w:rPr/>
              <w:t xml:space="preserve">E2, E3</w:t>
            </w:r>
          </w:p>
        </w:tc>
        <w:tc>
          <w:tcPr>
            <w:tcW w:w="0" w:type="auto"/>
          </w:tcPr>
          <w:p>
            <w:pPr>
              <w:pStyle w:val="TableText"/>
              <w:jc w:val="both"/>
            </w:pPr>
            <w:r>
              <w:rPr/>
              <w:t xml:space="preserve">Цифровые PDH-тракты со скоростями соответственно 8,448 Мбит/с и 34,368 Мбит/с.</w:t>
            </w:r>
          </w:p>
        </w:tc>
      </w:tr>
      <w:tr>
        <w:tc>
          <w:tcPr>
            <w:tcW w:w="0" w:type="auto"/>
          </w:tcPr>
          <w:p>
            <w:pPr>
              <w:pStyle w:val="TableText"/>
              <w:jc w:val="both"/>
            </w:pPr>
            <w:r>
              <w:rPr/>
              <w:t xml:space="preserve">ПЛИС</w:t>
            </w:r>
          </w:p>
        </w:tc>
        <w:tc>
          <w:tcPr>
            <w:tcW w:w="0" w:type="auto"/>
          </w:tcPr>
          <w:p>
            <w:pPr>
              <w:pStyle w:val="TableText"/>
              <w:jc w:val="both"/>
            </w:pPr>
            <w:r>
              <w:rPr/>
              <w:t xml:space="preserve">Программируемая логическая интегральная схема.</w:t>
            </w:r>
          </w:p>
        </w:tc>
      </w:tr>
      <w:tr>
        <w:tc>
          <w:tcPr>
            <w:tcW w:w="0" w:type="auto"/>
          </w:tcPr>
          <w:p>
            <w:pPr>
              <w:pStyle w:val="TableText"/>
              <w:jc w:val="both"/>
            </w:pPr>
            <w:r>
              <w:rPr/>
              <w:t xml:space="preserve">B2B</w:t>
            </w:r>
          </w:p>
        </w:tc>
        <w:tc>
          <w:tcPr>
            <w:tcW w:w="0" w:type="auto"/>
          </w:tcPr>
          <w:p>
            <w:pPr>
              <w:pStyle w:val="TableText"/>
              <w:jc w:val="both"/>
            </w:pPr>
            <w:r>
              <w:rPr/>
              <w:t xml:space="preserve">Board-to-Board — межплатное соединение.</w:t>
            </w:r>
          </w:p>
        </w:tc>
      </w:tr>
      <w:tr>
        <w:tc>
          <w:tcPr>
            <w:tcW w:w="0" w:type="auto"/>
          </w:tcPr>
          <w:p>
            <w:pPr>
              <w:pStyle w:val="TableText"/>
              <w:jc w:val="both"/>
            </w:pPr>
            <w:r>
              <w:rPr/>
              <w:t xml:space="preserve">Board ID</w:t>
            </w:r>
          </w:p>
        </w:tc>
        <w:tc>
          <w:tcPr>
            <w:tcW w:w="0" w:type="auto"/>
          </w:tcPr>
          <w:p>
            <w:pPr>
              <w:pStyle w:val="TableText"/>
              <w:jc w:val="both"/>
            </w:pPr>
            <w:r>
              <w:rPr/>
              <w:t xml:space="preserve">Идентификатор субплаты.</w:t>
            </w:r>
          </w:p>
        </w:tc>
      </w:tr>
      <w:tr>
        <w:tc>
          <w:tcPr>
            <w:tcW w:w="0" w:type="auto"/>
          </w:tcPr>
          <w:p>
            <w:pPr>
              <w:pStyle w:val="TableText"/>
              <w:jc w:val="both"/>
            </w:pPr>
            <w:r>
              <w:rPr/>
              <w:t xml:space="preserve">MMC</w:t>
            </w:r>
          </w:p>
        </w:tc>
        <w:tc>
          <w:tcPr>
            <w:tcW w:w="0" w:type="auto"/>
          </w:tcPr>
          <w:p>
            <w:pPr>
              <w:pStyle w:val="TableText"/>
              <w:jc w:val="both"/>
            </w:pPr>
            <w:r>
              <w:rPr/>
              <w:t xml:space="preserve">Module Management Controller — контроллер управления модулем.</w:t>
            </w:r>
          </w:p>
        </w:tc>
      </w:tr>
      <w:tr>
        <w:tc>
          <w:tcPr>
            <w:tcW w:w="0" w:type="auto"/>
          </w:tcPr>
          <w:p>
            <w:pPr>
              <w:pStyle w:val="TableText"/>
              <w:jc w:val="both"/>
            </w:pPr>
            <w:r>
              <w:rPr/>
              <w:t xml:space="preserve">РМО</w:t>
            </w:r>
          </w:p>
        </w:tc>
        <w:tc>
          <w:tcPr>
            <w:tcW w:w="0" w:type="auto"/>
          </w:tcPr>
          <w:p>
            <w:pPr>
              <w:pStyle w:val="TableText"/>
              <w:jc w:val="both"/>
            </w:pPr>
            <w:r>
              <w:rPr/>
              <w:t xml:space="preserve">Рабочее место оператора.</w:t>
            </w:r>
          </w:p>
        </w:tc>
      </w:tr>
      <w:tr>
        <w:tc>
          <w:tcPr>
            <w:tcW w:w="0" w:type="auto"/>
          </w:tcPr>
          <w:p>
            <w:pPr>
              <w:pStyle w:val="TableText"/>
              <w:jc w:val="both"/>
            </w:pPr>
            <w:r>
              <w:rPr/>
              <w:t xml:space="preserve">ОКР</w:t>
            </w:r>
          </w:p>
        </w:tc>
        <w:tc>
          <w:tcPr>
            <w:tcW w:w="0" w:type="auto"/>
          </w:tcPr>
          <w:p>
            <w:pPr>
              <w:pStyle w:val="TableText"/>
              <w:jc w:val="both"/>
            </w:pPr>
            <w:r>
              <w:rPr/>
              <w:t xml:space="preserve">Опытно-конструкторская работа.</w:t>
            </w:r>
          </w:p>
        </w:tc>
      </w:tr>
      <w:tr>
        <w:tc>
          <w:tcPr>
            <w:tcW w:w="0" w:type="auto"/>
          </w:tcPr>
          <w:p>
            <w:pPr>
              <w:pStyle w:val="TableText"/>
              <w:jc w:val="both"/>
            </w:pPr>
            <w:r>
              <w:rPr/>
              <w:t xml:space="preserve">РКД</w:t>
            </w:r>
          </w:p>
        </w:tc>
        <w:tc>
          <w:tcPr>
            <w:tcW w:w="0" w:type="auto"/>
          </w:tcPr>
          <w:p>
            <w:pPr>
              <w:pStyle w:val="TableText"/>
              <w:jc w:val="both"/>
            </w:pPr>
            <w:r>
              <w:rPr/>
              <w:t xml:space="preserve">Рабочая конструкторская документация.</w:t>
            </w:r>
          </w:p>
        </w:tc>
      </w:tr>
      <w:tr>
        <w:tc>
          <w:tcPr>
            <w:tcW w:w="0" w:type="auto"/>
          </w:tcPr>
          <w:p>
            <w:pPr>
              <w:pStyle w:val="TableText"/>
              <w:jc w:val="both"/>
            </w:pPr>
            <w:r>
              <w:rPr/>
              <w:t xml:space="preserve">ПМИ</w:t>
            </w:r>
          </w:p>
        </w:tc>
        <w:tc>
          <w:tcPr>
            <w:tcW w:w="0" w:type="auto"/>
          </w:tcPr>
          <w:p>
            <w:pPr>
              <w:pStyle w:val="TableText"/>
              <w:jc w:val="both"/>
            </w:pPr>
            <w:r>
              <w:rPr/>
              <w:t xml:space="preserve">Программа и методика испытаний.</w:t>
            </w:r>
          </w:p>
        </w:tc>
      </w:tr>
      <w:tr>
        <w:tc>
          <w:tcPr>
            <w:tcW w:w="0" w:type="auto"/>
          </w:tcPr>
          <w:p>
            <w:pPr>
              <w:pStyle w:val="TableText"/>
              <w:jc w:val="both"/>
            </w:pPr>
            <w:r>
              <w:rPr/>
              <w:t xml:space="preserve">LIU</w:t>
            </w:r>
          </w:p>
        </w:tc>
        <w:tc>
          <w:tcPr>
            <w:tcW w:w="0" w:type="auto"/>
          </w:tcPr>
          <w:p>
            <w:pPr>
              <w:pStyle w:val="TableText"/>
              <w:jc w:val="both"/>
            </w:pPr>
            <w:r>
              <w:rPr/>
              <w:t xml:space="preserve">Line Interface Unit — устройство линейного интерфейса.</w:t>
            </w:r>
          </w:p>
        </w:tc>
      </w:tr>
      <w:tr>
        <w:tc>
          <w:tcPr>
            <w:tcW w:w="0" w:type="auto"/>
          </w:tcPr>
          <w:p>
            <w:pPr>
              <w:pStyle w:val="TableText"/>
              <w:jc w:val="both"/>
            </w:pPr>
            <w:r>
              <w:rPr/>
              <w:t xml:space="preserve">EEPROM</w:t>
            </w:r>
          </w:p>
        </w:tc>
        <w:tc>
          <w:tcPr>
            <w:tcW w:w="0" w:type="auto"/>
          </w:tcPr>
          <w:p>
            <w:pPr>
              <w:pStyle w:val="TableText"/>
              <w:jc w:val="both"/>
            </w:pPr>
            <w:r>
              <w:rPr/>
              <w:t xml:space="preserve">Electrically Erasable Programmable Read-Only Memory — электрически стираемая программируемая постоянная память.</w:t>
            </w:r>
          </w:p>
        </w:tc>
      </w:tr>
      <w:tr>
        <w:tc>
          <w:tcPr>
            <w:tcW w:w="0" w:type="auto"/>
          </w:tcPr>
          <w:p>
            <w:pPr>
              <w:pStyle w:val="TableText"/>
              <w:jc w:val="both"/>
            </w:pPr>
            <w:r>
              <w:rPr/>
              <w:t xml:space="preserve">TDM-over-Packet</w:t>
            </w:r>
          </w:p>
        </w:tc>
        <w:tc>
          <w:tcPr>
            <w:tcW w:w="0" w:type="auto"/>
          </w:tcPr>
          <w:p>
            <w:pPr>
              <w:pStyle w:val="TableText"/>
              <w:jc w:val="both"/>
            </w:pPr>
            <w:r>
              <w:rPr/>
              <w:t xml:space="preserve">Передача временно́го мультиплексирования в пакетной сети.</w:t>
            </w:r>
          </w:p>
        </w:tc>
      </w:tr>
      <w:tr>
        <w:tc>
          <w:tcPr>
            <w:tcW w:w="0" w:type="auto"/>
          </w:tcPr>
          <w:p>
            <w:pPr>
              <w:pStyle w:val="TableText"/>
              <w:jc w:val="both"/>
            </w:pPr>
            <w:r>
              <w:rPr/>
              <w:t xml:space="preserve">SAToP</w:t>
            </w:r>
          </w:p>
        </w:tc>
        <w:tc>
          <w:tcPr>
            <w:tcW w:w="0" w:type="auto"/>
          </w:tcPr>
          <w:p>
            <w:pPr>
              <w:pStyle w:val="TableText"/>
              <w:jc w:val="both"/>
            </w:pPr>
            <w:r>
              <w:rPr/>
              <w:t xml:space="preserve">Structure-Agnostic TDM over Packet — передача неструктурированного TDM по пакетной сети.</w:t>
            </w:r>
          </w:p>
        </w:tc>
      </w:tr>
      <w:tr>
        <w:tc>
          <w:tcPr>
            <w:tcW w:w="0" w:type="auto"/>
          </w:tcPr>
          <w:p>
            <w:pPr>
              <w:pStyle w:val="TableText"/>
              <w:jc w:val="both"/>
            </w:pPr>
            <w:r>
              <w:rPr/>
              <w:t xml:space="preserve">E2oP</w:t>
            </w:r>
          </w:p>
        </w:tc>
        <w:tc>
          <w:tcPr>
            <w:tcW w:w="0" w:type="auto"/>
          </w:tcPr>
          <w:p>
            <w:pPr>
              <w:pStyle w:val="TableText"/>
              <w:jc w:val="both"/>
            </w:pPr>
            <w:r>
              <w:rPr/>
              <w:t xml:space="preserve">Передача E2 по пакетной сети на архитектуре SAToP.</w:t>
            </w:r>
          </w:p>
        </w:tc>
      </w:tr>
      <w:tr>
        <w:tc>
          <w:tcPr>
            <w:tcW w:w="0" w:type="auto"/>
          </w:tcPr>
          <w:p>
            <w:pPr>
              <w:pStyle w:val="TableText"/>
              <w:jc w:val="both"/>
            </w:pPr>
            <w:r>
              <w:rPr/>
              <w:t xml:space="preserve">TCLK, RX_CLK</w:t>
            </w:r>
          </w:p>
        </w:tc>
        <w:tc>
          <w:tcPr>
            <w:tcW w:w="0" w:type="auto"/>
          </w:tcPr>
          <w:p>
            <w:pPr>
              <w:pStyle w:val="TableText"/>
              <w:jc w:val="both"/>
            </w:pPr>
            <w:r>
              <w:rPr/>
              <w:t xml:space="preserve">Тактовая частота 19,44 МГц; принимаемая тактовая частота соответственно.</w:t>
            </w:r>
          </w:p>
        </w:tc>
      </w:tr>
      <w:tr>
        <w:tc>
          <w:tcPr>
            <w:tcW w:w="0" w:type="auto"/>
          </w:tcPr>
          <w:p>
            <w:pPr>
              <w:pStyle w:val="TableText"/>
              <w:jc w:val="both"/>
            </w:pPr>
            <w:r>
              <w:rPr/>
              <w:t xml:space="preserve">ACR/DCR</w:t>
            </w:r>
          </w:p>
        </w:tc>
        <w:tc>
          <w:tcPr>
            <w:tcW w:w="0" w:type="auto"/>
          </w:tcPr>
          <w:p>
            <w:pPr>
              <w:pStyle w:val="TableText"/>
              <w:jc w:val="both"/>
            </w:pPr>
            <w:r>
              <w:rPr/>
              <w:t xml:space="preserve">Адаптивное/дифференциальное восстановление тактовой частоты.</w:t>
            </w:r>
          </w:p>
        </w:tc>
      </w:tr>
      <w:tr>
        <w:tc>
          <w:tcPr>
            <w:tcW w:w="0" w:type="auto"/>
          </w:tcPr>
          <w:p>
            <w:pPr>
              <w:pStyle w:val="TableText"/>
              <w:jc w:val="both"/>
            </w:pPr>
            <w:r>
              <w:rPr/>
              <w:t xml:space="preserve">DPLL</w:t>
            </w:r>
          </w:p>
        </w:tc>
        <w:tc>
          <w:tcPr>
            <w:tcW w:w="0" w:type="auto"/>
          </w:tcPr>
          <w:p>
            <w:pPr>
              <w:pStyle w:val="TableText"/>
              <w:jc w:val="both"/>
            </w:pPr>
            <w:r>
              <w:rPr/>
              <w:t xml:space="preserve">Digital Phase-Locked Loop — цифровая система фазовой автоподстройки частоты.</w:t>
            </w:r>
          </w:p>
        </w:tc>
      </w:tr>
      <w:tr>
        <w:tc>
          <w:tcPr>
            <w:tcW w:w="0" w:type="auto"/>
          </w:tcPr>
          <w:p>
            <w:pPr>
              <w:pStyle w:val="TableText"/>
              <w:jc w:val="both"/>
            </w:pPr>
            <w:r>
              <w:rPr/>
              <w:t xml:space="preserve">HDB3</w:t>
            </w:r>
          </w:p>
        </w:tc>
        <w:tc>
          <w:tcPr>
            <w:tcW w:w="0" w:type="auto"/>
          </w:tcPr>
          <w:p>
            <w:pPr>
              <w:pStyle w:val="TableText"/>
              <w:jc w:val="both"/>
            </w:pPr>
            <w:r>
              <w:rPr/>
              <w:t xml:space="preserve">High Density Bipolar of order 3 — биполярный код высокой плотности порядка 3.</w:t>
            </w:r>
          </w:p>
        </w:tc>
      </w:tr>
      <w:tr>
        <w:tc>
          <w:tcPr>
            <w:tcW w:w="0" w:type="auto"/>
          </w:tcPr>
          <w:p>
            <w:pPr>
              <w:pStyle w:val="TableText"/>
              <w:jc w:val="both"/>
            </w:pPr>
            <w:r>
              <w:rPr/>
              <w:t xml:space="preserve">LOS, AIS</w:t>
            </w:r>
          </w:p>
        </w:tc>
        <w:tc>
          <w:tcPr>
            <w:tcW w:w="0" w:type="auto"/>
          </w:tcPr>
          <w:p>
            <w:pPr>
              <w:pStyle w:val="TableText"/>
              <w:jc w:val="both"/>
            </w:pPr>
            <w:r>
              <w:rPr/>
              <w:t xml:space="preserve">Loss Of Signal — потеря сигнала; Alarm Indication Signal — сигнал индикации аварии.</w:t>
            </w:r>
          </w:p>
        </w:tc>
      </w:tr>
      <w:tr>
        <w:tc>
          <w:tcPr>
            <w:tcW w:w="0" w:type="auto"/>
          </w:tcPr>
          <w:p>
            <w:pPr>
              <w:pStyle w:val="TableText"/>
              <w:jc w:val="both"/>
            </w:pPr>
            <w:r>
              <w:rPr/>
              <w:t xml:space="preserve">BPV, CV</w:t>
            </w:r>
          </w:p>
        </w:tc>
        <w:tc>
          <w:tcPr>
            <w:tcW w:w="0" w:type="auto"/>
          </w:tcPr>
          <w:p>
            <w:pPr>
              <w:pStyle w:val="TableText"/>
              <w:jc w:val="both"/>
            </w:pPr>
            <w:r>
              <w:rPr/>
              <w:t xml:space="preserve">Bipolar Violation — нарушение биполярности; Code Violation — нарушение кода.</w:t>
            </w:r>
          </w:p>
        </w:tc>
      </w:tr>
      <w:tr>
        <w:tc>
          <w:tcPr>
            <w:tcW w:w="0" w:type="auto"/>
          </w:tcPr>
          <w:p>
            <w:pPr>
              <w:pStyle w:val="TableText"/>
              <w:jc w:val="both"/>
            </w:pPr>
            <w:r>
              <w:rPr/>
              <w:t xml:space="preserve">QoS</w:t>
            </w:r>
          </w:p>
        </w:tc>
        <w:tc>
          <w:tcPr>
            <w:tcW w:w="0" w:type="auto"/>
          </w:tcPr>
          <w:p>
            <w:pPr>
              <w:pStyle w:val="TableText"/>
              <w:jc w:val="both"/>
            </w:pPr>
            <w:r>
              <w:rPr/>
              <w:t xml:space="preserve">Quality of Service — качество обслуживания.</w:t>
            </w:r>
          </w:p>
        </w:tc>
      </w:tr>
      <w:tr>
        <w:tc>
          <w:tcPr>
            <w:tcW w:w="0" w:type="auto"/>
          </w:tcPr>
          <w:p>
            <w:pPr>
              <w:pStyle w:val="TableText"/>
              <w:jc w:val="both"/>
            </w:pPr>
            <w:r>
              <w:rPr/>
              <w:t xml:space="preserve">PRBS</w:t>
            </w:r>
          </w:p>
        </w:tc>
        <w:tc>
          <w:tcPr>
            <w:tcW w:w="0" w:type="auto"/>
          </w:tcPr>
          <w:p>
            <w:pPr>
              <w:pStyle w:val="TableText"/>
              <w:jc w:val="both"/>
            </w:pPr>
            <w:r>
              <w:rPr/>
              <w:t xml:space="preserve">Pseudo-Random Binary Sequence — псевдослучайная двоичная последовательность.</w:t>
            </w:r>
          </w:p>
        </w:tc>
      </w:tr>
      <w:tr>
        <w:tc>
          <w:tcPr>
            <w:tcW w:w="0" w:type="auto"/>
          </w:tcPr>
          <w:p>
            <w:pPr>
              <w:pStyle w:val="TableText"/>
              <w:jc w:val="both"/>
            </w:pPr>
            <w:r>
              <w:rPr/>
              <w:t xml:space="preserve">BER</w:t>
            </w:r>
          </w:p>
        </w:tc>
        <w:tc>
          <w:tcPr>
            <w:tcW w:w="0" w:type="auto"/>
          </w:tcPr>
          <w:p>
            <w:pPr>
              <w:pStyle w:val="TableText"/>
              <w:jc w:val="both"/>
            </w:pPr>
            <w:r>
              <w:rPr/>
              <w:t xml:space="preserve">Bit Error Ratio — коэффициент ошибок по битам.</w:t>
            </w:r>
          </w:p>
        </w:tc>
      </w:tr>
      <w:tr>
        <w:tc>
          <w:tcPr>
            <w:tcW w:w="0" w:type="auto"/>
          </w:tcPr>
          <w:p>
            <w:pPr>
              <w:pStyle w:val="TableText"/>
              <w:jc w:val="both"/>
            </w:pPr>
            <w:r>
              <w:rPr/>
              <w:t xml:space="preserve">ESD</w:t>
            </w:r>
          </w:p>
        </w:tc>
        <w:tc>
          <w:tcPr>
            <w:tcW w:w="0" w:type="auto"/>
          </w:tcPr>
          <w:p>
            <w:pPr>
              <w:pStyle w:val="TableText"/>
              <w:jc w:val="both"/>
            </w:pPr>
            <w:r>
              <w:rPr/>
              <w:t xml:space="preserve">Electrostatic Discharge — электростатический разряд.</w:t>
            </w:r>
          </w:p>
        </w:tc>
      </w:tr>
      <w:tr>
        <w:tc>
          <w:tcPr>
            <w:tcW w:w="0" w:type="auto"/>
          </w:tcPr>
          <w:p>
            <w:pPr>
              <w:pStyle w:val="TableText"/>
              <w:jc w:val="both"/>
            </w:pPr>
            <w:r>
              <w:rPr/>
              <w:t xml:space="preserve">ЭКБ, ОТК, НД</w:t>
            </w:r>
          </w:p>
        </w:tc>
        <w:tc>
          <w:tcPr>
            <w:tcW w:w="0" w:type="auto"/>
          </w:tcPr>
          <w:p>
            <w:pPr>
              <w:pStyle w:val="TableText"/>
              <w:jc w:val="both"/>
            </w:pPr>
            <w:r>
              <w:rPr/>
              <w:t xml:space="preserve">Электронная компонентная база; отдел технического контроля; нормативные документы соответственно.</w:t>
            </w:r>
          </w:p>
        </w:tc>
      </w:tr>
    </w:tbl>
    <w:p>
      <w:pPr>
        <w:pStyle w:val="Heading1"/>
        <w:jc w:val="both"/>
      </w:pPr>
      <w:r>
        <w:rPr/>
        <w:t xml:space="preserve">Перечень применимых нормативных и справочных документов</w:t>
      </w:r>
    </w:p>
    <w:tbl>
      <w:tblPr>
        <w:tblW w:w="0" w:type="auto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r>
        <w:tc>
          <w:tcPr>
            <w:tcW w:w="0" w:type="auto"/>
          </w:tcPr>
          <w:p>
            <w:pPr>
              <w:pStyle w:val="TableHeader"/>
              <w:jc w:val="both"/>
            </w:pPr>
            <w:r>
              <w:rPr>
                <w:b/>
              </w:rPr>
              <w:t xml:space="preserve">Обозначение</w:t>
            </w:r>
          </w:p>
        </w:tc>
        <w:tc>
          <w:tcPr>
            <w:tcW w:w="0" w:type="auto"/>
          </w:tcPr>
          <w:p>
            <w:pPr>
              <w:pStyle w:val="TableHeader"/>
              <w:jc w:val="both"/>
            </w:pPr>
            <w:r>
              <w:rPr>
                <w:b/>
              </w:rPr>
              <w:t xml:space="preserve">Применение в настоящем ТЗ</w:t>
            </w:r>
          </w:p>
        </w:tc>
      </w:tr>
      <w:tr>
        <w:tc>
          <w:tcPr>
            <w:tcW w:w="0" w:type="auto"/>
          </w:tcPr>
          <w:p>
            <w:pPr>
              <w:pStyle w:val="TableText"/>
              <w:jc w:val="both"/>
            </w:pPr>
            <w:r>
              <w:rPr/>
              <w:t xml:space="preserve">ITU-T G.703</w:t>
            </w:r>
          </w:p>
        </w:tc>
        <w:tc>
          <w:tcPr>
            <w:tcW w:w="0" w:type="auto"/>
          </w:tcPr>
          <w:p>
            <w:pPr>
              <w:pStyle w:val="TableText"/>
              <w:jc w:val="both"/>
            </w:pPr>
            <w:r>
              <w:rPr/>
              <w:t xml:space="preserve">Электрические параметры интерфейсов E2 и E3; форма и амплитуда импульсов, возвратные потери и затухание кабеля.</w:t>
            </w:r>
          </w:p>
        </w:tc>
      </w:tr>
      <w:tr>
        <w:tc>
          <w:tcPr>
            <w:tcW w:w="0" w:type="auto"/>
          </w:tcPr>
          <w:p>
            <w:pPr>
              <w:pStyle w:val="TableText"/>
              <w:jc w:val="both"/>
            </w:pPr>
            <w:r>
              <w:rPr/>
              <w:t xml:space="preserve">ITU-T G.704</w:t>
            </w:r>
          </w:p>
        </w:tc>
        <w:tc>
          <w:tcPr>
            <w:tcW w:w="0" w:type="auto"/>
          </w:tcPr>
          <w:p>
            <w:pPr>
              <w:pStyle w:val="TableText"/>
              <w:jc w:val="both"/>
            </w:pPr>
            <w:r>
              <w:rPr/>
              <w:t xml:space="preserve">Структура E2.</w:t>
            </w:r>
          </w:p>
        </w:tc>
      </w:tr>
      <w:tr>
        <w:tc>
          <w:tcPr>
            <w:tcW w:w="0" w:type="auto"/>
          </w:tcPr>
          <w:p>
            <w:pPr>
              <w:pStyle w:val="TableText"/>
              <w:jc w:val="both"/>
            </w:pPr>
            <w:r>
              <w:rPr/>
              <w:t xml:space="preserve">ITU-T G.751</w:t>
            </w:r>
          </w:p>
        </w:tc>
        <w:tc>
          <w:tcPr>
            <w:tcW w:w="0" w:type="auto"/>
          </w:tcPr>
          <w:p>
            <w:pPr>
              <w:pStyle w:val="TableText"/>
              <w:jc w:val="both"/>
            </w:pPr>
            <w:r>
              <w:rPr/>
              <w:t xml:space="preserve">Структура E3.</w:t>
            </w:r>
          </w:p>
        </w:tc>
      </w:tr>
      <w:tr>
        <w:tc>
          <w:tcPr>
            <w:tcW w:w="0" w:type="auto"/>
          </w:tcPr>
          <w:p>
            <w:pPr>
              <w:pStyle w:val="TableText"/>
              <w:jc w:val="both"/>
            </w:pPr>
            <w:r>
              <w:rPr/>
              <w:t xml:space="preserve">ITU-T G.823</w:t>
            </w:r>
          </w:p>
        </w:tc>
        <w:tc>
          <w:tcPr>
            <w:tcW w:w="0" w:type="auto"/>
          </w:tcPr>
          <w:p>
            <w:pPr>
              <w:pStyle w:val="TableText"/>
              <w:jc w:val="both"/>
            </w:pPr>
            <w:r>
              <w:rPr/>
              <w:t xml:space="preserve">Джиттер и вандер; метрологические измерения джиттера.</w:t>
            </w:r>
          </w:p>
        </w:tc>
      </w:tr>
      <w:tr>
        <w:tc>
          <w:tcPr>
            <w:tcW w:w="0" w:type="auto"/>
          </w:tcPr>
          <w:p>
            <w:pPr>
              <w:pStyle w:val="TableText"/>
              <w:jc w:val="both"/>
            </w:pPr>
            <w:r>
              <w:rPr/>
              <w:t xml:space="preserve">RFC 4553</w:t>
            </w:r>
          </w:p>
        </w:tc>
        <w:tc>
          <w:tcPr>
            <w:tcW w:w="0" w:type="auto"/>
          </w:tcPr>
          <w:p>
            <w:pPr>
              <w:pStyle w:val="TableText"/>
              <w:jc w:val="both"/>
            </w:pPr>
            <w:r>
              <w:rPr/>
              <w:t xml:space="preserve">SAToP для E3.</w:t>
            </w:r>
          </w:p>
        </w:tc>
      </w:tr>
      <w:tr>
        <w:tc>
          <w:tcPr>
            <w:tcW w:w="0" w:type="auto"/>
          </w:tcPr>
          <w:p>
            <w:pPr>
              <w:pStyle w:val="TableText"/>
              <w:jc w:val="both"/>
            </w:pPr>
            <w:r>
              <w:rPr/>
              <w:t xml:space="preserve">PICMG AMC.0 R2.0</w:t>
            </w:r>
          </w:p>
        </w:tc>
        <w:tc>
          <w:tcPr>
            <w:tcW w:w="0" w:type="auto"/>
          </w:tcPr>
          <w:p>
            <w:pPr>
              <w:pStyle w:val="TableText"/>
              <w:jc w:val="both"/>
            </w:pPr>
            <w:r>
              <w:rPr/>
              <w:t xml:space="preserve">Конструктивное исполнение AMC.</w:t>
            </w:r>
          </w:p>
        </w:tc>
      </w:tr>
      <w:tr>
        <w:tc>
          <w:tcPr>
            <w:tcW w:w="0" w:type="auto"/>
          </w:tcPr>
          <w:p>
            <w:pPr>
              <w:pStyle w:val="TableText"/>
              <w:jc w:val="both"/>
            </w:pPr>
            <w:r>
              <w:rPr/>
              <w:t xml:space="preserve">ГОСТ РВ 20.39.304-98</w:t>
            </w:r>
          </w:p>
        </w:tc>
        <w:tc>
          <w:tcPr>
            <w:tcW w:w="0" w:type="auto"/>
          </w:tcPr>
          <w:p>
            <w:pPr>
              <w:pStyle w:val="TableText"/>
              <w:jc w:val="both"/>
            </w:pPr>
            <w:r>
              <w:rPr/>
              <w:t xml:space="preserve">Стойкость; группы 1.1, 1.3, 1.4.1, исполнение «О».</w:t>
            </w:r>
          </w:p>
        </w:tc>
      </w:tr>
      <w:tr>
        <w:tc>
          <w:tcPr>
            <w:tcW w:w="0" w:type="auto"/>
          </w:tcPr>
          <w:p>
            <w:pPr>
              <w:pStyle w:val="TableText"/>
              <w:jc w:val="both"/>
            </w:pPr>
            <w:r>
              <w:rPr/>
              <w:t xml:space="preserve">ГОСТ В 25803-91</w:t>
            </w:r>
          </w:p>
        </w:tc>
        <w:tc>
          <w:tcPr>
            <w:tcW w:w="0" w:type="auto"/>
          </w:tcPr>
          <w:p>
            <w:pPr>
              <w:pStyle w:val="TableText"/>
              <w:jc w:val="both"/>
            </w:pPr>
            <w:r>
              <w:rPr/>
              <w:t xml:space="preserve">Радиопомехи; группа 1.1.1.</w:t>
            </w:r>
          </w:p>
        </w:tc>
      </w:tr>
      <w:tr>
        <w:tc>
          <w:tcPr>
            <w:tcW w:w="0" w:type="auto"/>
          </w:tcPr>
          <w:p>
            <w:pPr>
              <w:pStyle w:val="TableText"/>
              <w:jc w:val="both"/>
            </w:pPr>
            <w:r>
              <w:rPr/>
              <w:t xml:space="preserve">ГОСТ 2.114-2016</w:t>
            </w:r>
          </w:p>
        </w:tc>
        <w:tc>
          <w:tcPr>
            <w:tcW w:w="0" w:type="auto"/>
          </w:tcPr>
          <w:p>
            <w:pPr>
              <w:pStyle w:val="TableText"/>
              <w:jc w:val="both"/>
            </w:pPr>
            <w:r>
              <w:rPr/>
              <w:t xml:space="preserve">Применимый документ согласно исходным требованиям.</w:t>
            </w:r>
          </w:p>
        </w:tc>
      </w:tr>
      <w:tr>
        <w:tc>
          <w:tcPr>
            <w:tcW w:w="0" w:type="auto"/>
          </w:tcPr>
          <w:p>
            <w:pPr>
              <w:pStyle w:val="TableText"/>
              <w:jc w:val="both"/>
            </w:pPr>
            <w:r>
              <w:rPr/>
              <w:t xml:space="preserve">ГОСТ РВ 15.201-2003</w:t>
            </w:r>
          </w:p>
        </w:tc>
        <w:tc>
          <w:tcPr>
            <w:tcW w:w="0" w:type="auto"/>
          </w:tcPr>
          <w:p>
            <w:pPr>
              <w:pStyle w:val="TableText"/>
              <w:jc w:val="both"/>
            </w:pPr>
            <w:r>
              <w:rPr/>
              <w:t xml:space="preserve">Применимый документ согласно исходным требованиям.</w:t>
            </w:r>
          </w:p>
        </w:tc>
      </w:tr>
      <w:tr>
        <w:tc>
          <w:tcPr>
            <w:tcW w:w="0" w:type="auto"/>
          </w:tcPr>
          <w:p>
            <w:pPr>
              <w:pStyle w:val="TableText"/>
              <w:jc w:val="both"/>
            </w:pPr>
            <w:r>
              <w:rPr/>
              <w:t xml:space="preserve">ГОСТ 15150</w:t>
            </w:r>
          </w:p>
        </w:tc>
        <w:tc>
          <w:tcPr>
            <w:tcW w:w="0" w:type="auto"/>
          </w:tcPr>
          <w:p>
            <w:pPr>
              <w:pStyle w:val="TableText"/>
              <w:jc w:val="both"/>
            </w:pPr>
            <w:r>
              <w:rPr/>
              <w:t xml:space="preserve">Хранение в заводской таре.</w:t>
            </w:r>
          </w:p>
        </w:tc>
      </w:tr>
      <w:tr>
        <w:tc>
          <w:tcPr>
            <w:tcW w:w="0" w:type="auto"/>
          </w:tcPr>
          <w:p>
            <w:pPr>
              <w:pStyle w:val="TableText"/>
              <w:jc w:val="both"/>
            </w:pPr>
            <w:r>
              <w:rPr/>
              <w:t xml:space="preserve">ГОСТ 15.016-2016</w:t>
            </w:r>
          </w:p>
        </w:tc>
        <w:tc>
          <w:tcPr>
            <w:tcW w:w="0" w:type="auto"/>
          </w:tcPr>
          <w:p>
            <w:pPr>
              <w:pStyle w:val="TableText"/>
              <w:jc w:val="both"/>
            </w:pPr>
            <w:r>
              <w:rPr/>
              <w:t xml:space="preserve">Построение, содержание, изложение и оформление ТЗ на составную часть ОКР: разделы 6.1, 6.2 и 7.1.</w:t>
            </w:r>
          </w:p>
        </w:tc>
      </w:tr>
    </w:tbl>
    <w:p>
      <w:pPr>
        <w:pStyle w:val="Heading1"/>
        <w:jc w:val="both"/>
      </w:pPr>
      <w:r>
        <w:rPr/>
        <w:t xml:space="preserve">1. Наименование, шифр, основание, исполнитель и сроки ОКР</w:t>
      </w:r>
    </w:p>
    <w:p>
      <w:pPr>
        <w:jc w:val="both"/>
      </w:pPr>
      <w:r>
        <w:rPr/>
        <w:t xml:space="preserve">1.1 Наименование составной части ОКР: «Разработка сменной интерфейсной субплаты E2/E3 и функционального модуля PDH для универсального базового модуля AMC семейства ДММП».</w:t>
      </w:r>
    </w:p>
    <w:p>
      <w:pPr>
        <w:jc w:val="both"/>
      </w:pPr>
      <w:r>
        <w:rPr/>
        <w:t xml:space="preserve">1.2 Шифр ОКР — «Развитие-ТСА». Для составной части ОКР применяется шифр ОКР «Развитие-ТСА»; добавочный шифр не задан.</w:t>
      </w:r>
    </w:p>
    <w:p>
      <w:pPr>
        <w:jc w:val="both"/>
      </w:pPr>
      <w:r>
        <w:rPr/>
        <w:t xml:space="preserve">1.3 Основание выполнения работ — приказ об открытии инициативной ОКР № [уточнить] от [уточнить].</w:t>
      </w:r>
    </w:p>
    <w:p>
      <w:pPr>
        <w:jc w:val="both"/>
      </w:pPr>
      <w:r>
        <w:rPr/>
        <w:t xml:space="preserve">1.4 Исполнитель составной части ОКР — ООО «тушканчик».</w:t>
      </w:r>
    </w:p>
    <w:p>
      <w:pPr>
        <w:jc w:val="both"/>
      </w:pPr>
      <w:r>
        <w:rPr/>
        <w:t xml:space="preserve">1.5 Сроки выполнения составной части ОКР устанавливают утвержденным планом-графиком разработки РКД, программной документации, изготовления образцов и испытаний. Даты начала, окончания и реквизиты утвержденного плана-графика — [уточнить].</w:t>
      </w:r>
    </w:p>
    <w:p>
      <w:pPr>
        <w:pStyle w:val="Heading1"/>
        <w:jc w:val="both"/>
      </w:pPr>
      <w:r>
        <w:rPr/>
        <w:t xml:space="preserve">2. Цель выполнения, наименование, назначение и область применения изделия</w:t>
      </w:r>
    </w:p>
    <w:p>
      <w:pPr>
        <w:jc w:val="both"/>
      </w:pPr>
      <w:r>
        <w:rPr/>
        <w:t xml:space="preserve">2.1 Цель выполнения составной части ОКР — разработка сменной интерфейсной субплаты E2/E3 и функционального модуля PDH для универсального базового модуля AMC семейства ДММП, обеспечивающих подключение двух независимых потоков E2 и одного потока E3 к платформе ДММП через коаксиальные линии, TDM-over-Packet, джиттер-буферизацию и синхронизацию.</w:t>
      </w:r>
    </w:p>
    <w:p>
      <w:pPr>
        <w:jc w:val="both"/>
      </w:pPr>
      <w:r>
        <w:rPr/>
        <w:t xml:space="preserve">2.2 Изделие предназначено для установки AMC на Carrier платформы ДММП.</w:t>
      </w:r>
    </w:p>
    <w:p>
      <w:pPr>
        <w:jc w:val="both"/>
      </w:pPr>
      <w:r>
        <w:rPr/>
        <w:t xml:space="preserve">2.3 Аппаратная часть изделия включает субплату, интерфейсы, защиту, трансиверы и EEPROM. Логическая часть — функциональный модуль ПЛИС базовой платы, автоматически активируемый по Board ID.</w:t>
      </w:r>
    </w:p>
    <w:p>
      <w:pPr>
        <w:jc w:val="both"/>
      </w:pPr>
      <w:r>
        <w:rPr/>
        <w:t xml:space="preserve">2.4 Область применения: PDH-тракты 8 и 34 Мбит/с в энергетике, на железнодорожном транспорте и у магистральных операторов.</w:t>
      </w:r>
    </w:p>
    <w:p>
      <w:pPr>
        <w:pStyle w:val="Heading1"/>
        <w:jc w:val="both"/>
      </w:pPr>
      <w:r>
        <w:rPr/>
        <w:t xml:space="preserve">3. Технические требования к изделию</w:t>
      </w:r>
    </w:p>
    <w:p>
      <w:pPr>
        <w:pStyle w:val="Heading2"/>
        <w:jc w:val="both"/>
      </w:pPr>
      <w:r>
        <w:rPr/>
        <w:t xml:space="preserve">3.1 Состав изделия, архитектура, разъёмы и кабели</w:t>
      </w:r>
    </w:p>
    <w:p>
      <w:pPr>
        <w:jc w:val="both"/>
      </w:pPr>
      <w:r>
        <w:rPr/>
        <w:t xml:space="preserve">3.1.1 Субплата должна соединяться с базовой платой через B2B и содержать: три экранированных вибростойких разъёма HARTING PushPull 09452812560 с замковой фиксацией; тракты 75 Ом; ВЧ-трансформаторы; LIU; EEPROM с Board ID </w:t>
      </w:r>
      <w:r>
        <w:rPr/>
        <w:t xml:space="preserve">0x03</w:t>
      </w:r>
      <w:r>
        <w:rPr/>
        <w:t xml:space="preserve">; светодиоды.</w:t>
      </w:r>
    </w:p>
    <w:p>
      <w:pPr>
        <w:jc w:val="both"/>
      </w:pPr>
      <w:r>
        <w:rPr/>
        <w:t xml:space="preserve">3.1.2 Базовая плата должна предоставлять субплате напряжения +12 В и +3,3 В, MMC и тактирование; базовая плата должна автоматически загружать bitstream PDH из Flash.</w:t>
      </w:r>
    </w:p>
    <w:p>
      <w:pPr>
        <w:jc w:val="both"/>
      </w:pPr>
      <w:r>
        <w:rPr/>
        <w:t xml:space="preserve">3.1.3 Каждый из разъёмов E2-1, E2-2 и E3-1 должен обслуживать отдельные коаксиальные цепи TX и RX с волновым сопротивлением 75 Ом.</w:t>
      </w:r>
    </w:p>
    <w:p>
      <w:pPr>
        <w:jc w:val="both"/>
      </w:pPr>
      <w:r>
        <w:rPr/>
        <w:t xml:space="preserve">3.1.4 В комплект поставки и РКД должны быть включены экранированные адаптеры HARTING PushPull → две вилки BNC 75 Ом / DIN 1.0/2.3 с маркировкой TX/RX.</w:t>
      </w:r>
    </w:p>
    <w:p>
      <w:pPr>
        <w:jc w:val="both"/>
      </w:pPr>
      <w:r>
        <w:rPr/>
        <w:t xml:space="preserve">3.1.5 Применение BNC 50 Ом не допускается по импедансу и габаритам.</w:t>
      </w:r>
    </w:p>
    <w:p>
      <w:pPr>
        <w:jc w:val="both"/>
      </w:pPr>
      <w:r>
        <w:rPr>
          <w:b/>
        </w:rPr>
        <w:t xml:space="preserve">Проверка.</w:t>
      </w:r>
      <w:r>
        <w:rPr/>
        <w:t xml:space="preserve"> Осмотром РКД, комплекта и изделия подтвердить число, тип и фиксацию разъёмов, наличие элементов по п. 3.1.1, Board ID </w:t>
      </w:r>
      <w:r>
        <w:rPr/>
        <w:t xml:space="preserve">0x03</w:t>
      </w:r>
      <w:r>
        <w:rPr/>
        <w:t xml:space="preserve">, отдельность цепей TX/RX каждого порта, маркировку адаптеров и отсутствие BNC 50 Ом. Демонстрацией при установленной AMC подтвердить предоставление базовой платой питания, MMC и тактирования, а также автоматическую загрузку bitstream PDH из Flash.</w:t>
      </w:r>
    </w:p>
    <w:p>
      <w:pPr>
        <w:pStyle w:val="Heading2"/>
        <w:jc w:val="both"/>
      </w:pPr>
      <w:r>
        <w:rPr/>
        <w:t xml:space="preserve">3.2 Требования назначения: электрические параметры</w:t>
      </w:r>
    </w:p>
    <w:tbl>
      <w:tblPr>
        <w:tblW w:w="0" w:type="auto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r>
        <w:tc>
          <w:tcPr>
            <w:tcW w:w="0" w:type="auto"/>
          </w:tcPr>
          <w:p>
            <w:pPr>
              <w:pStyle w:val="TableHeader"/>
              <w:jc w:val="both"/>
            </w:pPr>
            <w:r>
              <w:rPr>
                <w:b/>
              </w:rPr>
              <w:t xml:space="preserve">Параметр</w:t>
            </w:r>
          </w:p>
        </w:tc>
        <w:tc>
          <w:tcPr>
            <w:tcW w:w="0" w:type="auto"/>
          </w:tcPr>
          <w:p>
            <w:pPr>
              <w:pStyle w:val="TableHeader"/>
              <w:jc w:val="both"/>
            </w:pPr>
            <w:r>
              <w:rPr>
                <w:b/>
              </w:rPr>
              <w:t xml:space="preserve">E2 (два порта)</w:t>
            </w:r>
          </w:p>
        </w:tc>
        <w:tc>
          <w:tcPr>
            <w:tcW w:w="0" w:type="auto"/>
          </w:tcPr>
          <w:p>
            <w:pPr>
              <w:pStyle w:val="TableHeader"/>
              <w:jc w:val="both"/>
            </w:pPr>
            <w:r>
              <w:rPr>
                <w:b/>
              </w:rPr>
              <w:t xml:space="preserve">E3 (один порт)</w:t>
            </w:r>
          </w:p>
        </w:tc>
      </w:tr>
      <w:tr>
        <w:tc>
          <w:tcPr>
            <w:tcW w:w="0" w:type="auto"/>
          </w:tcPr>
          <w:p>
            <w:pPr>
              <w:pStyle w:val="TableText"/>
              <w:jc w:val="both"/>
            </w:pPr>
            <w:r>
              <w:rPr/>
              <w:t xml:space="preserve">Скорость</w:t>
            </w:r>
          </w:p>
        </w:tc>
        <w:tc>
          <w:tcPr>
            <w:tcW w:w="0" w:type="auto"/>
          </w:tcPr>
          <w:p>
            <w:pPr>
              <w:pStyle w:val="TableText"/>
              <w:jc w:val="both"/>
            </w:pPr>
            <w:r>
              <w:rPr/>
              <w:t xml:space="preserve">8448 кбит/с (8,448 Мбит/с) ±30 ppm</w:t>
            </w:r>
          </w:p>
        </w:tc>
        <w:tc>
          <w:tcPr>
            <w:tcW w:w="0" w:type="auto"/>
          </w:tcPr>
          <w:p>
            <w:pPr>
              <w:pStyle w:val="TableText"/>
              <w:jc w:val="both"/>
            </w:pPr>
            <w:r>
              <w:rPr/>
              <w:t xml:space="preserve">34 368 кбит/с (34,368 Мбит/с) ±20 ppm</w:t>
            </w:r>
          </w:p>
        </w:tc>
      </w:tr>
      <w:tr>
        <w:tc>
          <w:tcPr>
            <w:tcW w:w="0" w:type="auto"/>
          </w:tcPr>
          <w:p>
            <w:pPr>
              <w:pStyle w:val="TableText"/>
              <w:jc w:val="both"/>
            </w:pPr>
            <w:r>
              <w:rPr/>
              <w:t xml:space="preserve">Код и сопротивление</w:t>
            </w:r>
          </w:p>
        </w:tc>
        <w:tc>
          <w:tcPr>
            <w:tcW w:w="0" w:type="auto"/>
          </w:tcPr>
          <w:p>
            <w:pPr>
              <w:pStyle w:val="TableText"/>
              <w:jc w:val="both"/>
            </w:pPr>
            <w:r>
              <w:rPr/>
              <w:t xml:space="preserve">HDB3, 75 Ом</w:t>
            </w:r>
          </w:p>
        </w:tc>
        <w:tc>
          <w:tcPr>
            <w:tcW w:w="0" w:type="auto"/>
          </w:tcPr>
          <w:p>
            <w:pPr>
              <w:pStyle w:val="TableText"/>
              <w:jc w:val="both"/>
            </w:pPr>
            <w:r>
              <w:rPr/>
              <w:t xml:space="preserve">HDB3, 75 Ом</w:t>
            </w:r>
          </w:p>
        </w:tc>
      </w:tr>
      <w:tr>
        <w:tc>
          <w:tcPr>
            <w:tcW w:w="0" w:type="auto"/>
          </w:tcPr>
          <w:p>
            <w:pPr>
              <w:pStyle w:val="TableText"/>
              <w:jc w:val="both"/>
            </w:pPr>
            <w:r>
              <w:rPr/>
              <w:t xml:space="preserve">Пиковое напряжение / длительность</w:t>
            </w:r>
          </w:p>
        </w:tc>
        <w:tc>
          <w:tcPr>
            <w:tcW w:w="0" w:type="auto"/>
          </w:tcPr>
          <w:p>
            <w:pPr>
              <w:pStyle w:val="TableText"/>
              <w:jc w:val="both"/>
            </w:pPr>
            <w:r>
              <w:rPr/>
              <w:t xml:space="preserve">2,37 В / 59 нс</w:t>
            </w:r>
          </w:p>
        </w:tc>
        <w:tc>
          <w:tcPr>
            <w:tcW w:w="0" w:type="auto"/>
          </w:tcPr>
          <w:p>
            <w:pPr>
              <w:pStyle w:val="TableText"/>
              <w:jc w:val="both"/>
            </w:pPr>
            <w:r>
              <w:rPr/>
              <w:t xml:space="preserve">1,0 В / 14,55 нс</w:t>
            </w:r>
          </w:p>
        </w:tc>
      </w:tr>
      <w:tr>
        <w:tc>
          <w:tcPr>
            <w:tcW w:w="0" w:type="auto"/>
          </w:tcPr>
          <w:p>
            <w:pPr>
              <w:pStyle w:val="TableText"/>
              <w:jc w:val="both"/>
            </w:pPr>
            <w:r>
              <w:rPr/>
              <w:t xml:space="preserve">Возвратные потери входа/выхода</w:t>
            </w:r>
          </w:p>
        </w:tc>
        <w:tc>
          <w:tcPr>
            <w:tcW w:w="0" w:type="auto"/>
          </w:tcPr>
          <w:p>
            <w:pPr>
              <w:pStyle w:val="TableText"/>
              <w:jc w:val="both"/>
            </w:pPr>
            <w:r>
              <w:rPr/>
              <w:t xml:space="preserve">≥18 дБ, 422–8448 кГц</w:t>
            </w:r>
          </w:p>
        </w:tc>
        <w:tc>
          <w:tcPr>
            <w:tcW w:w="0" w:type="auto"/>
          </w:tcPr>
          <w:p>
            <w:pPr>
              <w:pStyle w:val="TableText"/>
              <w:jc w:val="both"/>
            </w:pPr>
            <w:r>
              <w:rPr/>
              <w:t xml:space="preserve">≥18 дБ, 1720–34 368 кГц</w:t>
            </w:r>
          </w:p>
        </w:tc>
      </w:tr>
      <w:tr>
        <w:tc>
          <w:tcPr>
            <w:tcW w:w="0" w:type="auto"/>
          </w:tcPr>
          <w:p>
            <w:pPr>
              <w:pStyle w:val="TableText"/>
              <w:jc w:val="both"/>
            </w:pPr>
            <w:r>
              <w:rPr/>
              <w:t xml:space="preserve">Допустимое затухание кабеля</w:t>
            </w:r>
          </w:p>
        </w:tc>
        <w:tc>
          <w:tcPr>
            <w:tcW w:w="0" w:type="auto"/>
          </w:tcPr>
          <w:p>
            <w:pPr>
              <w:pStyle w:val="TableText"/>
              <w:jc w:val="both"/>
            </w:pPr>
            <w:r>
              <w:rPr/>
              <w:t xml:space="preserve">до 6 дБ на 4224 кГц</w:t>
            </w:r>
          </w:p>
        </w:tc>
        <w:tc>
          <w:tcPr>
            <w:tcW w:w="0" w:type="auto"/>
          </w:tcPr>
          <w:p>
            <w:pPr>
              <w:pStyle w:val="TableText"/>
              <w:jc w:val="both"/>
            </w:pPr>
            <w:r>
              <w:rPr/>
              <w:t xml:space="preserve">до 12 дБ на 17 184 кГц</w:t>
            </w:r>
          </w:p>
        </w:tc>
      </w:tr>
    </w:tbl>
    <w:p>
      <w:pPr>
        <w:jc w:val="both"/>
      </w:pPr>
      <w:r>
        <w:rPr/>
        <w:t xml:space="preserve">3.2.1 Для каждого порта должны быть предусмотрены трансформаторная гальваническая развязка и импульсная защита.</w:t>
      </w:r>
    </w:p>
    <w:p>
      <w:pPr>
        <w:jc w:val="both"/>
      </w:pPr>
      <w:r>
        <w:rPr/>
        <w:t xml:space="preserve">3.2.2 Структура E2 должна соответствовать ITU-T G.704; структура E3 — ITU-T G.751. Электрические параметры должны соответствовать ITU-T G.703.</w:t>
      </w:r>
    </w:p>
    <w:p>
      <w:pPr>
        <w:jc w:val="both"/>
      </w:pPr>
      <w:r>
        <w:rPr>
          <w:b/>
        </w:rPr>
        <w:t xml:space="preserve">Проверка.</w:t>
      </w:r>
      <w:r>
        <w:rPr/>
        <w:t xml:space="preserve"> Измерениями на E2-1, E2-2 и E3-1 подтвердить параметры таблицы 3.2, включая скорость с указанным допуском, HDB3, сопротивление 75 Ом, пиковое напряжение, длительность, возвратные потери в заданных частотных диапазонах и допустимое затухание кабеля. Осмотром и испытанием подтвердить трансформаторную гальваническую развязку и импульсную защиту каждого порта. Проверка структуры выполняется по ITU-T G.704 для E2 и по ITU-T G.751 для E3.</w:t>
      </w:r>
    </w:p>
    <w:p>
      <w:pPr>
        <w:pStyle w:val="Heading2"/>
        <w:jc w:val="both"/>
      </w:pPr>
      <w:r>
        <w:rPr/>
        <w:t xml:space="preserve">3.3 Пакетная передача, синхронизация и диагностика</w:t>
      </w:r>
    </w:p>
    <w:p>
      <w:pPr>
        <w:jc w:val="both"/>
      </w:pPr>
      <w:r>
        <w:rPr/>
        <w:t xml:space="preserve">3.3.1 Для E3 должна быть реализована передача SAToP по RFC 4553: полный поток с управляющим словом и контролем последовательности.</w:t>
      </w:r>
    </w:p>
    <w:p>
      <w:pPr>
        <w:jc w:val="both"/>
      </w:pPr>
      <w:r>
        <w:rPr/>
        <w:t xml:space="preserve">3.3.2 Для E2 должна быть реализована передача E2oP на архитектуре SAToP: полный поток с минимальной фиксированной задержкой.</w:t>
      </w:r>
    </w:p>
    <w:p>
      <w:pPr>
        <w:jc w:val="both"/>
      </w:pPr>
      <w:r>
        <w:rPr/>
        <w:t xml:space="preserve">3.3.3 Для передачи должен использоваться Fabric 10GbE с Strict Priority QoS. Джиттер-буфер каждого сервиса должен настраиваться в диапазоне 1–64 мс.</w:t>
      </w:r>
    </w:p>
    <w:p>
      <w:pPr>
        <w:jc w:val="both"/>
      </w:pPr>
      <w:r>
        <w:rPr/>
        <w:t xml:space="preserve">3.3.4 Потеря пакетов или авария сети должны вызывать непрерывный AIS на выходе.</w:t>
      </w:r>
    </w:p>
    <w:p>
      <w:pPr>
        <w:jc w:val="both"/>
      </w:pPr>
      <w:r>
        <w:rPr/>
        <w:t xml:space="preserve">3.3.5 Тактирование должно обеспечивать пересчёт TCLK 19,44 МГц в 8,448 МГц и 34,368 МГц, ACR/DCR, Holdover и Loop timing.</w:t>
      </w:r>
    </w:p>
    <w:p>
      <w:pPr>
        <w:jc w:val="both"/>
      </w:pPr>
      <w:r>
        <w:rPr/>
        <w:t xml:space="preserve">3.3.6 Частота любого входного порта должна выдаваться в RX_CLK. ПЛИС/DPLL базовой платы должна преобразовывать RX_CLK в 19,44 МГц для TCLK. Джиттер и вандер должны соответствовать ITU-T G.823.</w:t>
      </w:r>
    </w:p>
    <w:p>
      <w:pPr>
        <w:jc w:val="both"/>
      </w:pPr>
      <w:r>
        <w:rPr/>
        <w:t xml:space="preserve">3.3.7 Должен осуществляться контроль LOS, AIS, BPV/CV HDB3, переполнения и опустошения буфера.</w:t>
      </w:r>
    </w:p>
    <w:p>
      <w:pPr>
        <w:jc w:val="both"/>
      </w:pPr>
      <w:r>
        <w:rPr/>
        <w:t xml:space="preserve">3.3.8 Для каждого порта должны быть доступны Local Line, Payload и Packet Loopback.</w:t>
      </w:r>
    </w:p>
    <w:p>
      <w:pPr>
        <w:jc w:val="both"/>
      </w:pPr>
      <w:r>
        <w:rPr/>
        <w:t xml:space="preserve">3.3.9 Должен быть предусмотрен генератор/анализатор PRBS 2^23−1 для измерения BER.</w:t>
      </w:r>
    </w:p>
    <w:p>
      <w:pPr>
        <w:jc w:val="both"/>
      </w:pPr>
      <w:r>
        <w:rPr>
          <w:b/>
        </w:rPr>
        <w:t xml:space="preserve">Проверка.</w:t>
      </w:r>
      <w:r>
        <w:rPr/>
        <w:t xml:space="preserve"> Демонстрацией для E3 подтвердить передачу полного потока SAToP с управляющим словом и контролем последовательности; для E2 — передачу полного потока E2oP на архитектуре SAToP. При настройках 1 мс и 64 мс, а также значениях между ними подтвердить настройку джиттер-буфера каждого сервиса. При искусственно вызванной потере пакетов и аварии сети на выходе должен наблюдаться непрерывный AIS. Проверить режимы ACR/DCR, Holdover и Loop timing, выдачу частоты каждого входного порта в RX_CLK и преобразование её ПЛИС/DPLL базовой платы в 19,44 МГц для TCLK. Измерить джиттер и вандер по ITU-T G.823. Ввести LOS, AIS, BPV/CV HDB3, переполнение и опустошение буфера; подтвердить их контроль. Для каждого порта продемонстрировать Local Line, Payload и Packet Loopback, а также генерацию и анализ PRBS 2^23−1 для измерения BER.</w:t>
      </w:r>
    </w:p>
    <w:p>
      <w:pPr>
        <w:pStyle w:val="Heading2"/>
        <w:jc w:val="both"/>
      </w:pPr>
      <w:r>
        <w:rPr/>
        <w:t xml:space="preserve">3.4 Конструктивные требования</w:t>
      </w:r>
    </w:p>
    <w:p>
      <w:pPr>
        <w:jc w:val="both"/>
      </w:pPr>
      <w:r>
        <w:rPr/>
        <w:t xml:space="preserve">3.4.1 Конструктивное исполнение — Single Full-size AMC.0; габаритные размеры — 73,5 × 180,6 × 28,95 мм.</w:t>
      </w:r>
    </w:p>
    <w:p>
      <w:pPr>
        <w:jc w:val="both"/>
      </w:pPr>
      <w:r>
        <w:rPr/>
        <w:t xml:space="preserve">3.4.2 Межплатное крепление должно быть выполнено на 4–6 металлических стойках М2,5.</w:t>
      </w:r>
    </w:p>
    <w:p>
      <w:pPr>
        <w:jc w:val="both"/>
      </w:pPr>
      <w:r>
        <w:rPr>
          <w:b/>
        </w:rPr>
        <w:t xml:space="preserve">Проверка.</w:t>
      </w:r>
      <w:r>
        <w:rPr/>
        <w:t xml:space="preserve"> Осмотром, измерением и сверкой с РКД подтвердить исполнение Single Full-size AMC.0, размеры 73,5 × 180,6 × 28,95 мм и межплатное крепление на 4–6 металлических стойках М2,5.</w:t>
      </w:r>
    </w:p>
    <w:p>
      <w:pPr>
        <w:pStyle w:val="Heading2"/>
        <w:jc w:val="both"/>
      </w:pPr>
      <w:r>
        <w:rPr/>
        <w:t xml:space="preserve">3.5 Требования электромагнитной совместимости</w:t>
      </w:r>
    </w:p>
    <w:p>
      <w:pPr>
        <w:jc w:val="both"/>
      </w:pPr>
      <w:r>
        <w:rPr/>
        <w:t xml:space="preserve">3.5.1 Требования по радиопомехам должны соответствовать группе 1.1.1 ГОСТ В 25803-91.</w:t>
      </w:r>
    </w:p>
    <w:p>
      <w:pPr>
        <w:jc w:val="both"/>
      </w:pPr>
      <w:r>
        <w:rPr>
          <w:b/>
        </w:rPr>
        <w:t xml:space="preserve">Проверка.</w:t>
      </w:r>
      <w:r>
        <w:rPr/>
        <w:t xml:space="preserve"> Испытаниями подтвердить соответствие группы радиопомех 1.1.1 ГОСТ В 25803-91.</w:t>
      </w:r>
    </w:p>
    <w:p>
      <w:pPr>
        <w:pStyle w:val="Heading2"/>
        <w:jc w:val="both"/>
      </w:pPr>
      <w:r>
        <w:rPr/>
        <w:t xml:space="preserve">3.6 Требования живучести и стойкости к внешним воздействиям</w:t>
      </w:r>
    </w:p>
    <w:p>
      <w:pPr>
        <w:jc w:val="both"/>
      </w:pPr>
      <w:r>
        <w:rPr/>
        <w:t xml:space="preserve">3.6.1 Изделие должно соответствовать ГОСТ РВ 20.39.304-98, группам 1.1, 1.3, 1.4.1, исполнению «О».</w:t>
      </w:r>
    </w:p>
    <w:p>
      <w:pPr>
        <w:jc w:val="both"/>
      </w:pPr>
      <w:r>
        <w:rPr/>
        <w:t xml:space="preserve">3.6.2 Рабочая температура должна быть от −10 до +50 °C; предельная температура — от −40 до +65 °C.</w:t>
      </w:r>
    </w:p>
    <w:p>
      <w:pPr>
        <w:jc w:val="both"/>
      </w:pPr>
      <w:r>
        <w:rPr/>
        <w:t xml:space="preserve">3.6.3 Стойкость к синусоидальной вибрации — 5g; стойкость к ударам — 15g.</w:t>
      </w:r>
    </w:p>
    <w:p>
      <w:pPr>
        <w:jc w:val="both"/>
      </w:pPr>
      <w:r>
        <w:rPr>
          <w:b/>
        </w:rPr>
        <w:t xml:space="preserve">Проверка.</w:t>
      </w:r>
      <w:r>
        <w:rPr/>
        <w:t xml:space="preserve"> Испытаниями подтвердить соответствие ГОСТ РВ 20.39.304-98, группам 1.1, 1.3, 1.4.1 и исполнению «О», работу в диапазоне −10…+50 °C, предельные температуры −40…+65 °C, синусоидальную вибрацию 5g и удары 15g. Критерии сохранения параметров и реакции после воздействия сверх прямо заданных параметров должны быть установлены ПМИ [уточнить].</w:t>
      </w:r>
    </w:p>
    <w:p>
      <w:pPr>
        <w:pStyle w:val="Heading2"/>
        <w:jc w:val="both"/>
      </w:pPr>
      <w:r>
        <w:rPr/>
        <w:t xml:space="preserve">3.7 Требования надёжности</w:t>
      </w:r>
    </w:p>
    <w:p>
      <w:pPr>
        <w:jc w:val="both"/>
      </w:pPr>
      <w:r>
        <w:rPr/>
        <w:t xml:space="preserve">3.7.1 Средняя наработка на отказ (MTBF) должна быть не менее 15 000 ч.</w:t>
      </w:r>
    </w:p>
    <w:p>
      <w:pPr>
        <w:jc w:val="both"/>
      </w:pPr>
      <w:r>
        <w:rPr/>
        <w:t xml:space="preserve">3.7.2 Назначенный срок службы должен быть не менее 5 лет.</w:t>
      </w:r>
    </w:p>
    <w:p>
      <w:pPr>
        <w:jc w:val="both"/>
      </w:pPr>
      <w:r>
        <w:rPr>
          <w:b/>
        </w:rPr>
        <w:t xml:space="preserve">Проверка.</w:t>
      </w:r>
      <w:r>
        <w:rPr/>
        <w:t xml:space="preserve"> Подтверждение MTBF не менее 15 000 ч и назначенного срока службы не менее 5 лет выполняют методами, составом данных и критериями, установленными ПМИ [уточнить].</w:t>
      </w:r>
    </w:p>
    <w:p>
      <w:pPr>
        <w:pStyle w:val="Heading2"/>
        <w:jc w:val="both"/>
      </w:pPr>
      <w:r>
        <w:rPr/>
        <w:t xml:space="preserve">3.8 Требования к эксплуатации, хранению, техническому обслуживанию и ремонту</w:t>
      </w:r>
    </w:p>
    <w:p>
      <w:pPr>
        <w:jc w:val="both"/>
      </w:pPr>
      <w:r>
        <w:rPr/>
        <w:t xml:space="preserve">3.8.1 Мощность субплаты должна быть не более 15 Вт. Мощность сборки должна быть не более 35 Вт.</w:t>
      </w:r>
    </w:p>
    <w:p>
      <w:pPr>
        <w:jc w:val="both"/>
      </w:pPr>
      <w:r>
        <w:rPr/>
        <w:t xml:space="preserve">3.8.2 Эксплуатационный контроль должен включать состояния и параметры по пп. 3.3.4–3.3.9; индикация и регистрация должны обеспечиваться согласно разделам 5 и 8.</w:t>
      </w:r>
    </w:p>
    <w:p>
      <w:pPr>
        <w:jc w:val="both"/>
      </w:pPr>
      <w:r>
        <w:rPr>
          <w:b/>
        </w:rPr>
        <w:t xml:space="preserve">Проверка.</w:t>
      </w:r>
      <w:r>
        <w:rPr/>
        <w:t xml:space="preserve"> Измерениями подтвердить мощность субплаты ≤15 Вт и сборки ≤35 Вт. Демонстрацией подтвердить доступность эксплуатационного контроля указанных состояний и параметров.</w:t>
      </w:r>
    </w:p>
    <w:p>
      <w:pPr>
        <w:pStyle w:val="Heading1"/>
        <w:jc w:val="both"/>
      </w:pPr>
      <w:r>
        <w:rPr/>
        <w:t xml:space="preserve">4. Технико-экономические требования</w:t>
      </w:r>
    </w:p>
    <w:p>
      <w:pPr>
        <w:jc w:val="both"/>
      </w:pPr>
      <w:r>
        <w:rPr/>
        <w:t xml:space="preserve">4.1 Технико-экономические требования не предъявляются.</w:t>
      </w:r>
    </w:p>
    <w:p>
      <w:pPr>
        <w:pStyle w:val="Heading1"/>
        <w:jc w:val="both"/>
      </w:pPr>
      <w:r>
        <w:rPr/>
        <w:t xml:space="preserve">5. Требования к видам обеспечения</w:t>
      </w:r>
    </w:p>
    <w:p>
      <w:pPr>
        <w:pStyle w:val="Heading2"/>
        <w:jc w:val="both"/>
      </w:pPr>
      <w:r>
        <w:rPr/>
        <w:t xml:space="preserve">5.1 Нормативно-техническое обеспечение</w:t>
      </w:r>
    </w:p>
    <w:p>
      <w:pPr>
        <w:jc w:val="both"/>
      </w:pPr>
      <w:r>
        <w:rPr/>
        <w:t xml:space="preserve">5.1.1 При разработке изделия должны применяться документы, приведённые в перечне применимых нормативных и справочных документов настоящего ТЗ.</w:t>
      </w:r>
    </w:p>
    <w:p>
      <w:pPr>
        <w:jc w:val="both"/>
      </w:pPr>
      <w:r>
        <w:rPr>
          <w:b/>
        </w:rPr>
        <w:t xml:space="preserve">Проверка.</w:t>
      </w:r>
      <w:r>
        <w:rPr/>
        <w:t xml:space="preserve"> Экспертизой РКД, программной документации и ПМИ подтвердить учёт применимых документов.</w:t>
      </w:r>
    </w:p>
    <w:p>
      <w:pPr>
        <w:pStyle w:val="Heading2"/>
        <w:jc w:val="both"/>
      </w:pPr>
      <w:r>
        <w:rPr/>
        <w:t xml:space="preserve">5.2 Метрологическое обеспечение</w:t>
      </w:r>
    </w:p>
    <w:p>
      <w:pPr>
        <w:jc w:val="both"/>
      </w:pPr>
      <w:r>
        <w:rPr/>
        <w:t xml:space="preserve">5.2.1 Должны быть предусмотрены средства и методики измерения формы и амплитуды импульсов по ITU-T G.703, возвратных потерь 75 Ом, джиттера по ITU-T G.823 и BER. Незаполненные допуски средств и методик измерений не устанавливаются настоящим ТЗ.</w:t>
      </w:r>
    </w:p>
    <w:p>
      <w:pPr>
        <w:jc w:val="both"/>
      </w:pPr>
      <w:r>
        <w:rPr>
          <w:b/>
        </w:rPr>
        <w:t xml:space="preserve">Проверка.</w:t>
      </w:r>
      <w:r>
        <w:rPr/>
        <w:t xml:space="preserve"> Осмотром состава средств и методик измерений подтвердить наличие указанных видов измерений.</w:t>
      </w:r>
    </w:p>
    <w:p>
      <w:pPr>
        <w:pStyle w:val="Heading2"/>
        <w:jc w:val="both"/>
      </w:pPr>
      <w:r>
        <w:rPr/>
        <w:t xml:space="preserve">5.3 Диагностическое обеспечение</w:t>
      </w:r>
    </w:p>
    <w:p>
      <w:pPr>
        <w:jc w:val="both"/>
      </w:pPr>
      <w:r>
        <w:rPr/>
        <w:t xml:space="preserve">5.3.1 Должны быть обеспечены регистрация LOS/AIS и BPV, а также формирование сообщений и отчётов для РМО.</w:t>
      </w:r>
    </w:p>
    <w:p>
      <w:pPr>
        <w:jc w:val="both"/>
      </w:pPr>
      <w:r>
        <w:rPr>
          <w:b/>
        </w:rPr>
        <w:t xml:space="preserve">Проверка.</w:t>
      </w:r>
      <w:r>
        <w:rPr/>
        <w:t xml:space="preserve"> При формировании LOS, AIS и BPV подтвердить их регистрацию, формирование сообщений и отчётов для РМО.</w:t>
      </w:r>
    </w:p>
    <w:p>
      <w:pPr>
        <w:pStyle w:val="Heading2"/>
        <w:jc w:val="both"/>
      </w:pPr>
      <w:r>
        <w:rPr/>
        <w:t xml:space="preserve">5.4 Программное и информационное обеспечение</w:t>
      </w:r>
    </w:p>
    <w:p>
      <w:pPr>
        <w:jc w:val="both"/>
      </w:pPr>
      <w:r>
        <w:rPr/>
        <w:t xml:space="preserve">5.4.1 Должны быть разработаны bitstream функционального модуля для Flash базовой платы, драйверы Linux и MIB для РМО.</w:t>
      </w:r>
    </w:p>
    <w:p>
      <w:pPr>
        <w:jc w:val="both"/>
      </w:pPr>
      <w:r>
        <w:rPr>
          <w:b/>
        </w:rPr>
        <w:t xml:space="preserve">Проверка.</w:t>
      </w:r>
      <w:r>
        <w:rPr/>
        <w:t xml:space="preserve"> Осмотром состава программной документации и демонстрацией подтвердить наличие bitstream для Flash базовой платы, драйверов Linux и MIB для РМО.</w:t>
      </w:r>
    </w:p>
    <w:p>
      <w:pPr>
        <w:pStyle w:val="Heading1"/>
        <w:jc w:val="both"/>
      </w:pPr>
      <w:r>
        <w:rPr/>
        <w:t xml:space="preserve">6. Требования к сырью, материалам и комплектующим изделиям</w:t>
      </w:r>
    </w:p>
    <w:p>
      <w:pPr>
        <w:jc w:val="both"/>
      </w:pPr>
      <w:r>
        <w:rPr/>
        <w:t xml:space="preserve">6.1 При разработке и изготовлении изделия должен быть обеспечен приоритет отечественных материалов и комплектующих с приёмкой ОТК.</w:t>
      </w:r>
    </w:p>
    <w:p>
      <w:pPr>
        <w:jc w:val="both"/>
      </w:pPr>
      <w:r>
        <w:rPr/>
        <w:t xml:space="preserve">6.2 При отсутствии аналогов допускается применение импортной ЭКБ промышленного температурного диапазона.</w:t>
      </w:r>
    </w:p>
    <w:p>
      <w:pPr>
        <w:jc w:val="both"/>
      </w:pPr>
      <w:r>
        <w:rPr>
          <w:b/>
        </w:rPr>
        <w:t xml:space="preserve">Проверка.</w:t>
      </w:r>
      <w:r>
        <w:rPr/>
        <w:t xml:space="preserve"> Проверкой ведомостей материалов, комплектующих и документов ОТК подтвердить приоритет отечественных материалов и комплектующих. Для применённой импортной ЭКБ подтвердить отсутствие аналога и промышленный температурный диапазон.</w:t>
      </w:r>
    </w:p>
    <w:p>
      <w:pPr>
        <w:pStyle w:val="Heading1"/>
        <w:jc w:val="both"/>
      </w:pPr>
      <w:r>
        <w:rPr/>
        <w:t xml:space="preserve">7. Требования к консервации, упаковке и маркировке</w:t>
      </w:r>
    </w:p>
    <w:p>
      <w:pPr>
        <w:jc w:val="both"/>
      </w:pPr>
      <w:r>
        <w:rPr/>
        <w:t xml:space="preserve">7.1 На изделие должны быть нанесены децимальный номер, серийный номер, ревизия, а также маркировка E2-1, E2-2, E3-1.</w:t>
      </w:r>
    </w:p>
    <w:p>
      <w:pPr>
        <w:jc w:val="both"/>
      </w:pPr>
      <w:r>
        <w:rPr/>
        <w:t xml:space="preserve">7.2 Должна быть предусмотрена индивидуальная тара с ESD-защитой.</w:t>
      </w:r>
    </w:p>
    <w:p>
      <w:pPr>
        <w:jc w:val="both"/>
      </w:pPr>
      <w:r>
        <w:rPr/>
        <w:t xml:space="preserve">7.3 Срок хранения в заводской таре должен быть не менее 1 года по ГОСТ 15150.</w:t>
      </w:r>
    </w:p>
    <w:p>
      <w:pPr>
        <w:jc w:val="both"/>
      </w:pPr>
      <w:r>
        <w:rPr/>
        <w:t xml:space="preserve">7.4 Условия консервации, не заданные настоящим ТЗ, не устанавливаются.</w:t>
      </w:r>
    </w:p>
    <w:p>
      <w:pPr>
        <w:jc w:val="both"/>
      </w:pPr>
      <w:r>
        <w:rPr>
          <w:b/>
        </w:rPr>
        <w:t xml:space="preserve">Проверка.</w:t>
      </w:r>
      <w:r>
        <w:rPr/>
        <w:t xml:space="preserve"> Осмотром изделия и тары подтвердить нанесение децимального и серийного номеров, ревизии, маркировок E2-1, E2-2, E3-1 и наличие индивидуальной тары с ESD-защитой. Проверкой документации подтвердить срок хранения в заводской таре не менее 1 года по ГОСТ 15150.</w:t>
      </w:r>
    </w:p>
    <w:p>
      <w:pPr>
        <w:pStyle w:val="Heading1"/>
        <w:jc w:val="both"/>
      </w:pPr>
      <w:r>
        <w:rPr/>
        <w:t xml:space="preserve">8. Специальные требования</w:t>
      </w:r>
    </w:p>
    <w:p>
      <w:pPr>
        <w:jc w:val="both"/>
      </w:pPr>
      <w:r>
        <w:rPr/>
        <w:t xml:space="preserve">8.1 Телеметрия РМО (C++/Qt) должна включать мнемосхему портов, состояния LOS/AIS, BPV, состояния SAToP/E2oP и источник тактирования.</w:t>
      </w:r>
    </w:p>
    <w:p>
      <w:pPr>
        <w:jc w:val="both"/>
      </w:pPr>
      <w:r>
        <w:rPr/>
        <w:t xml:space="preserve">8.2 Должны быть доступны команды: включение/отключение передатчиков, настройка джиттер-буфера, включение петель и PRBS.</w:t>
      </w:r>
    </w:p>
    <w:p>
      <w:pPr>
        <w:jc w:val="both"/>
      </w:pPr>
      <w:r>
        <w:rPr>
          <w:b/>
        </w:rPr>
        <w:t xml:space="preserve">Проверка.</w:t>
      </w:r>
      <w:r>
        <w:rPr/>
        <w:t xml:space="preserve"> В РМО C++/Qt демонстрацией подтвердить отображение мнемосхемы портов, LOS/AIS, BPV, SAToP/E2oP и источника тактирования. Для каждой команды подтвердить выполнение команды включения/отключения передатчиков, настройки джиттер-буфера, включения Local Line, Payload и Packet Loopback и PRBS. Требуемые безопасные состояния при командах, помимо безопасного режима по п. 3.3.4, не заданы; критерии их проверки должны быть определены ПМИ [уточнить].</w:t>
      </w:r>
    </w:p>
    <w:p>
      <w:pPr>
        <w:pageBreakBefore/>
        <w:jc w:val="center"/>
      </w:pPr>
      <w:r>
        <w:rPr>
          <w:b/>
        </w:rPr>
        <w:t xml:space="preserve">Последний лист ТЗ на составную часть ОКР</w:t>
      </w:r>
    </w:p>
    <w:tbl>
      <w:tblPr>
        <w:tblW w:w="0" w:type="auto"/>
      </w:tblPr>
      <w:tr>
        <w:tc>
          <w:tcPr>
            <w:tcW w:w="0" w:type="auto"/>
          </w:tcPr>
          <w:p>
            <w:pPr>
              <w:pStyle w:val="TableText"/>
              <w:jc w:val="center"/>
            </w:pPr>
            <w:r>
              <w:rPr>
                <w:b/>
              </w:rPr>
              <w:t xml:space="preserve">Разработчик ТЗ</w:t>
            </w:r>
            <w:r>
              <w:br/>
            </w:r>
            <w:r>
              <w:br/>
            </w:r>
            <w:r>
              <w:rPr/>
              <w:t xml:space="preserve">ООО «тушканчик»</w:t>
            </w:r>
            <w:r>
              <w:br/>
            </w:r>
            <w:r>
              <w:rPr/>
              <w:t xml:space="preserve">Должность: [уточнить]</w:t>
            </w:r>
            <w:r>
              <w:br/>
            </w:r>
            <w:r>
              <w:br/>
            </w:r>
            <w:r>
              <w:rPr/>
              <w:t xml:space="preserve">______________ [уточнить]</w:t>
            </w:r>
            <w:r>
              <w:br/>
            </w:r>
            <w:r>
              <w:br/>
            </w:r>
            <w:r>
              <w:rPr/>
              <w:t xml:space="preserve">[уточнить]</w:t>
            </w:r>
          </w:p>
        </w:tc>
        <w:tc>
          <w:tcPr>
            <w:tcW w:w="0" w:type="auto"/>
          </w:tcPr>
          <w:p>
            <w:pPr>
              <w:pStyle w:val="TableText"/>
              <w:jc w:val="center"/>
            </w:pPr>
            <w:r>
              <w:rPr>
                <w:b/>
              </w:rPr>
              <w:t xml:space="preserve">СОГЛАСОВАНО</w:t>
            </w:r>
            <w:r>
              <w:br/>
            </w:r>
            <w:r>
              <w:br/>
            </w:r>
            <w:r>
              <w:rPr/>
              <w:t xml:space="preserve">Заказчик (НИО заказчика)</w:t>
            </w:r>
            <w:r>
              <w:br/>
            </w:r>
            <w:r>
              <w:rPr/>
              <w:t xml:space="preserve">Должность: [уточнить]</w:t>
            </w:r>
            <w:r>
              <w:br/>
            </w:r>
            <w:r>
              <w:br/>
            </w:r>
            <w:r>
              <w:rPr/>
              <w:t xml:space="preserve">______________ [уточнить]</w:t>
            </w:r>
            <w:r>
              <w:br/>
            </w:r>
            <w:r>
              <w:br/>
            </w:r>
            <w:r>
              <w:rPr/>
              <w:t xml:space="preserve">[уточнить]</w:t>
            </w:r>
          </w:p>
        </w:tc>
      </w:tr>
      <w:tr>
        <w:tc>
          <w:tcPr>
            <w:tcW w:w="0" w:type="auto"/>
          </w:tcPr>
          <w:p>
            <w:pPr>
              <w:pStyle w:val="TableText"/>
              <w:jc w:val="center"/>
            </w:pPr>
            <w:r>
              <w:rPr>
                <w:b/>
              </w:rPr>
              <w:t xml:space="preserve">СОГЛАСОВАНО</w:t>
            </w:r>
            <w:r>
              <w:br/>
            </w:r>
            <w:r>
              <w:br/>
            </w:r>
            <w:r>
              <w:rPr/>
              <w:t xml:space="preserve">Исполнитель составной части ОКР</w:t>
            </w:r>
            <w:r>
              <w:br/>
            </w:r>
            <w:r>
              <w:rPr/>
              <w:t xml:space="preserve">ООО «тушканчик»</w:t>
            </w:r>
            <w:r>
              <w:br/>
            </w:r>
            <w:r>
              <w:br/>
            </w:r>
            <w:r>
              <w:rPr/>
              <w:t xml:space="preserve">______________ [уточнить]</w:t>
            </w:r>
            <w:r>
              <w:br/>
            </w:r>
            <w:r>
              <w:br/>
            </w:r>
            <w:r>
              <w:rPr/>
              <w:t xml:space="preserve">[уточнить]</w:t>
            </w:r>
          </w:p>
        </w:tc>
        <w:tc>
          <w:tcPr>
            <w:tcW w:w="0" w:type="auto"/>
          </w:tcPr>
          <w:p>
            <w:pPr>
              <w:pStyle w:val="TableText"/>
              <w:jc w:val="center"/>
            </w:pPr>
            <w:r>
              <w:rPr>
                <w:b/>
              </w:rPr>
              <w:t xml:space="preserve">СОГЛАСОВАНО</w:t>
            </w:r>
            <w:r>
              <w:br/>
            </w:r>
            <w:r>
              <w:br/>
            </w:r>
            <w:r>
              <w:rPr/>
              <w:t xml:space="preserve">Иная согласующая организация</w:t>
            </w:r>
            <w:r>
              <w:br/>
            </w:r>
            <w:r>
              <w:rPr/>
              <w:t xml:space="preserve">[уточнить]</w:t>
            </w:r>
            <w:r>
              <w:br/>
            </w:r>
            <w:r>
              <w:br/>
            </w:r>
            <w:r>
              <w:rPr/>
              <w:t xml:space="preserve">______________ [уточнить]</w:t>
            </w:r>
            <w:r>
              <w:br/>
            </w:r>
            <w:r>
              <w:br/>
            </w:r>
            <w:r>
              <w:rPr/>
              <w:t xml:space="preserve">[уточнить]</w:t>
            </w:r>
          </w:p>
        </w:tc>
      </w:tr>
    </w:tbl>
    <w:p>
      <w:pPr>
        <w:jc w:val="both"/>
      </w:pPr>
      <w:r>
        <w:rPr/>
        <w:t xml:space="preserve">Настоящее ТЗ подготовлено как проект. Незаданные реквизиты, календарные сроки, ФИО, подписи, методики и критерии, помеченные «[уточнить]», подлежат установлению уполномоченными сторонами до утверждения.</w:t>
      </w:r>
    </w:p>
    <w:sectPr>
      <w:pgSz w:w="11906" w:h="16838"/>
      <w:pgMar w:top="1134" w:right="850" w:bottom="1134" w:left="1134" w:header="567" w:footer="567" w:gutter="0"/>
      <w:footerReference w:type="default" r:id="rId1"/>
    </w:sectPr>
  </w:body>
</w:document>
</file>

<file path=word/footer1.xml><?xml version="1.0" encoding="utf-8"?>
<w:ftr xmlns:w="http://schemas.openxmlformats.org/wordprocessingml/2006/main">
  <w:p>
    <w:pPr>
      <w:jc w:val="right"/>
    </w:pPr>
    <w:r>
      <w:fldChar w:fldCharType="begin"/>
    </w:r>
    <w:r>
      <w:instrText> PAGE </w:instrText>
    </w:r>
    <w:r>
      <w:fldChar w:fldCharType="end"/>
    </w:r>
  </w:p>
</w:ftr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/>
        <w:sz w:val="24"/>
        <w:szCs w:val="24"/>
      </w:rPr>
    </w:rPrDefault>
    <w:pPrDefault>
      <w:pPr>
        <w:spacing w:after="120" w:line="300" w:lineRule="auto"/>
      </w:pPr>
    </w:pPrDefault>
  </w:docDefaults>
  <w:style w:type="paragraph" w:default="1" w:styleId="Normal">
    <w:name w:val="Normal"/>
    <w:qFormat/>
    <w:pPr>
      <w:jc w:val="both"/>
    </w:pPr>
  </w:style>
  <w:style w:type="paragraph" w:styleId="Heading1">
    <w:name w:val="heading 1"/>
    <w:basedOn w:val="Normal"/>
    <w:next w:val="Normal"/>
    <w:qFormat/>
    <w:pPr>
      <w:keepNext/>
      <w:keepLines/>
      <w:spacing w:before="280" w:after="140"/>
      <w:jc w:val="center"/>
      <w:outlineLvl w:val="0"/>
    </w:pPr>
    <w:rPr>
      <w:b/>
      <w:sz w:val="30"/>
    </w:rPr>
  </w:style>
  <w:style w:type="paragraph" w:styleId="Heading2">
    <w:name w:val="heading 2"/>
    <w:basedOn w:val="Normal"/>
    <w:next w:val="Normal"/>
    <w:qFormat/>
    <w:pPr>
      <w:keepNext/>
      <w:keepLines/>
      <w:spacing w:before="22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keepLines/>
      <w:outlineLvl w:val="2"/>
    </w:pPr>
    <w:rPr>
      <w:b/>
    </w:rPr>
  </w:style>
  <w:style w:type="paragraph" w:styleId="TableText">
    <w:name w:val="Table Text"/>
    <w:basedOn w:val="Normal"/>
    <w:pPr>
      <w:spacing w:after="40" w:line="230"/>
    </w:pPr>
    <w:rPr>
      <w:sz w:val="21"/>
    </w:rPr>
  </w:style>
  <w:style w:type="paragraph" w:styleId="TableHeader">
    <w:name w:val="Table Header"/>
    <w:basedOn w:val="TableText"/>
    <w:pPr>
      <w:jc w:val="center"/>
    </w:pPr>
    <w:rPr>
      <w:b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>
  <Application>Codex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Техническое задание — Развитие-ТСА</dc:title>
  <dc:creator>ООО «тушканчик»</dc:creator>
  <dcterms:created xsi:type="dcterms:W3CDTF">2026-10-04T00:00:00Z</dcterms:created>
</cp:coreProperties>
</file>