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Показатели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2019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2020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2021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2022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006FC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</w:rPr>
              <w:t>2023 (янв-май)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млрд тенге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69532.6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70649.0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83951.6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102891.8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23 494,9*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млрд долл. США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181.7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171.1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197.1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223.4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  <w:b/>
              </w:rPr>
              <w:t>51,6*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на душу населения. $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9812.0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9121.0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10220.0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11304.0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nan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Среднегодовой курс $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382.7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412.9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426.0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460.5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454,9*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Реальный рост ВВП в %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4.5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-2.5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4.3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3.2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4.5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Производство товаров, ИФО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104.9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102.0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103.6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103.2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  <w:shd w:fill="DDEBF7"/>
          </w:tcPr>
          <w:p>
            <w:r>
              <w:rPr>
                <w:rFonts w:ascii="Arial" w:hAnsi="Arial"/>
              </w:rPr>
              <w:t>103.6</w:t>
            </w:r>
          </w:p>
        </w:tc>
      </w:tr>
      <w:tr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Производство услуг, ИФО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104.4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94.7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104.0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102.6</w:t>
            </w:r>
          </w:p>
        </w:tc>
        <w:tc>
          <w:tcPr>
            <w:tcW w:type="dxa" w:w="1800"/>
            <w:tcMar>
              <w:top w:w="50" w:type="dxa"/>
              <w:start w:w="10" w:type="dxa"/>
              <w:bottom w:w="50" w:type="dxa"/>
              <w:end w:w="10" w:type="dxa"/>
            </w:tcMar>
          </w:tcPr>
          <w:p>
            <w:r>
              <w:rPr>
                <w:rFonts w:ascii="Arial" w:hAnsi="Arial"/>
              </w:rPr>
              <w:t>104.9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