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0C1813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8181D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Сентябрь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0C1813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432989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jc w:val="center"/>
      </w:pPr>
      <w:r>
        <w:rPr>
          <w:rFonts w:ascii="Arial" w:hAnsi="Arial"/>
          <w:b/>
          <w:sz w:val="32"/>
        </w:rPr>
        <w:t>1. МАКРОЭКОНОМИКА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1.1.  ВАЛОВЫЙ ВНУТРЕННИЙ ПРОДУКТ (ВВП)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млрдтенге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69532.6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70649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83951.6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103 765,5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46 727,9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млрддолл.США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103.4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надушунаселения.$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Среднегодовой курс $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451.9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Реальный рост ВВП в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4,9*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1.2.  ИНДЕКС ФИЗИЧЕСКОГО ОБЪЕМА (ИФО)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ppi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1.3.  ПРОИЗВОДИТЕЛЬНОСТЬ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labor_productivity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1.4.  ИНВЕСТИЦИИ В ОСНОВНОЙ КАПИТАЛ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capital_investment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1.5.  ИНВЕСТИЦИИ В ОСНОВНОЙ КАПИТАЛ ПО ИСТОЧНИКАМ ФИНАНСИРОВАНИЯ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capital_investment_financing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1.6.  СТАТИСТИКА ТРУДА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employment_unemployment_average_salary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1.7.  ИНДЕКС ПОТРЕБИТЕЛЬСКИХ ЦЕН И ИНДЕКС ЦЕН ПРОИЗВОДИТЕЛЕЙ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consumer_price_index1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consumer_price_index2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1.8.  ИНДЕКС ЦЕН НА СОЦИАЛЬНО-ЗНАЧИМЫЕ ПОТРЕБИТЕЛЬСКИЕ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cpi_social_consumer_goods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1.9.  ИНДЕКС ПОТРЕБИТЕЛЬСКИХ ЦЕН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cpi_by_country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1.10.  МЕЖДУНАРОДНЫЕ РЕЗЕРВЫ И КУРСЫ ВАЛЮТ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international_reserves_exchange_rates1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international_reserves_exchange_rates2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1.11.  ГОСДОЛГ В % К ВВП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government_debt_to_gdp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1.12.  КРЕДИТНЫЙ РЕЙТИНГ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credit_rating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1.13.  ИСПОЛНЕНИЕ ГОСУДАРСТВЕННОГО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government_budget_revenue_execution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1.14.  ИСПОЛНЕНИЕ РЕСПУБЛИКАНСКОГО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republican_budget_revenue_execution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1.15.  ИСПОЛНЕНИЕ ГОСУДАРСТВЕННОГО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government_budget_expenditure_deficit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1.16.  ИСПОЛНЕНИЕ РЕСПУБЛИКАНСКОГО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republican_budget_expenditure_deficit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1.17.  ИНДЕКС PMI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pmi_by_country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1.18.  ИНДЕКС PMI (В ПРОМЫШЛЕННОСТИ И УСЛУГАХ)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pmi_industry_services_by_country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1.19.  ТОРГОВЫЙ ОБОРОТ РЕСПУБЛИКИ КАЗАХСТАН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 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2017-2021.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Товарооборот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86470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109.7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Экспорт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60321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Импорт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Торговое сальдо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27764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54.1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1.20.  ТОРГОВЫЙ ОБОРОТ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Товарооборот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86470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109.7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109.3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122.8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Нидерланды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100.2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142.9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102.9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69.3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Румыния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Греция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94.3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Швейцария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84.4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страны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1.21.  ЭКСПОРТ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export_kazakhstan_by_country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1.22.  ИМПОРТ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import_kazakhstan_by_country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1.23.  ОСНОВНЫЕ ЭКСПОРТНЫЕ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major_export_goods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1.24.  ОСНОВНЫЕ ИМПОРТНЫЕ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major_import_goods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1.25.  СТРУКТУРА ВНЕШНЕЙ ТОРГОВЛИ РЕСПУБЛИКИ КАЗАХСТАН В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external_trade_structure_kazakhstan_in_million_usd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1.26.  ОСНОВНЫЕ НЕСЫРЬЕВЫЕ ЭКСПОРТНЫЕ ТОВАРЫ,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major_non_raw_export_goods_in_million_usd1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major_non_raw_export_goods_in_million_usd2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1.27.  ПРОГНОЗ СОЦИАЛЬНО-ЭКОНОМИЧЕСКОГО РАЗВИТИЯ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(оценка)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2026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2027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2028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Прим.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ВВП, млрд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118 286,9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156 778,4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175 113,7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196 695,1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221518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Реальное изменение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% к предыдущему году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427.6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 долл. США по расчетному курсу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ВВП на душу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долл. США по расчетному курсу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Инфляция в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7,5-9,5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2023-08-06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2023-06-04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конец периода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Объем добычи нефти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тоннах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Цена на нефть (смесь Brent)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$/баррель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Дефицит бюджета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к ВВП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Показатели платежного баланса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Экспорт товаров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80855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89677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93069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долл. США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Импорт товаров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53054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45255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Торговый баланс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Текущий счет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-1731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% к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1.28.  ПРОГНОЗ ИНСТИТУТА ЭКОНОМИЧЕСКИХ ИССЛЕДОВАНИЙ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institute_of_economic_research_forecast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1.29.  КОНСЕНСУС ПРОГНОЗ РОСТА ВВП КАЗАХСТАНА И ДРУГИХ СТРАН (%) И ЦЕН НА НЕФТЬ ($/БАРРЕЛЬ)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consensus_gdp_growth_and_oil_prices_forecast2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consensus_gdp_growth_and_oil_prices_forecast3</w:t>
      </w:r>
    </w:p>
    <w:p/>
    <w:p>
      <w:pPr>
        <w:jc w:val="center"/>
      </w:pPr>
      <w:r>
        <w:rPr>
          <w:rFonts w:ascii="Arial" w:hAnsi="Arial"/>
          <w:b/>
          <w:sz w:val="32"/>
        </w:rPr>
        <w:t>2. РЫНОК ТРУДА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2.1.  СТАТИСТИКА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labor_market_statistics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2.2.  СРЕДНЕМЕСЯЧНАЯ ЗАРАБОТНАЯ ПЛАТА ПО ВИДАМ ЭКОНОМИЧЕСКОЙ ДЕЯТЕЛЬНОСТИ (В 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average_salary_by_economic_activity_in_thousand_tenge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2.3.  ИНДЕКС НОМИНАЛЬНОЙ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nominal_wage_index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2.4.  ИНДЕКС РЕАЛЬНОЙ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real_wage_index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2.5.  СРЕДНЕМЕСЯЧНАЯ НОМИНАЛЬНАЯ ЗАРАБОТНАЯ ПЛАТА (В ТЫС.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average_nominal_salary_by_region_in_thousand_tenge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2.6.  ИНДЕКС НОМИНАЛЬНОЙ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nominal_wage_index_by_region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2.7.  ИНДЕКС РЕАЛЬНОЙ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real_wage_index_by_region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2.8.  СРЕДНЕДУШЕВЫЕ НОМИНАЛЬНЫЕ ДЕНЕЖНЫЕ ДОХОДЫ НАСЕЛЕНИЯ (В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average_per_capita_nominal_income_by_region_in_tenge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2.9.  ИНДЕКС НОМИНАЛЬНЫХ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nominal_income_index_by_region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2.10.  ИНДЕКС РЕАЛЬНЫХ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real_income_index_by_region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2.11.  ДОЛЯ НАСЕЛЕНИЯ, ИМЕЮЩЕГО ДОХОДЫ НИЖЕ ВЕЛИЧИНЫ ПРОЖИТОЧНОГО МИНИМУМА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population_share_below_poverty_line</w:t>
      </w:r>
    </w:p>
    <w:p/>
    <w:p>
      <w:pPr>
        <w:jc w:val="center"/>
      </w:pPr>
      <w:r>
        <w:rPr>
          <w:rFonts w:ascii="Arial" w:hAnsi="Arial"/>
          <w:b/>
          <w:sz w:val="32"/>
        </w:rPr>
        <w:t>3. ПРЕДПРИНИМАТЕЛЬСТВО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3.1.  ОБЩИЕ ПОКАЗАТЕЛИ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general_indicators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3.2.  ОТРАСЛЕВАЯ СПЕЦИАЛИЗАЦИЯ СУБЪЕКТОВ МСП В 2021 ГОДУ, В 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субъектымалого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субъектысреднего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предпринимательства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предпринимательства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 г.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Промышленность,втомчисле: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22.8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56.7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Услуги, втомчисле: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торговля;ремонтавтомобилейимотоциклов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Транспортискладирование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Предоставлениеуслугпопроживаниюипитанию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Информацияисвязь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Финансоваяистраховаядеятельность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Профессиональная,научнаяитехническаядеятельность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8.5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Деятельностьвобластиадминистративногои вспомогательногообслуживания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Здравоохранениеисоциальноеобслуживаниенаселения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Искусство,развлеченияиотдых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1.3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4. РЕГИОНЫ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4.1.  ВАЛОВЫЙ РЕГИОНАЛЬНЫЙ ПРОДУКТ И ИНДЕКС ФИЗИЧЕСКОГО ОБЪЕМА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regional_gross_domestic_product_and_physical_volume_index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4.2.  ВАЛОВЫЙ РЕГИОНАЛЬНЫЙ ПРОДУКТ НА ДУШУ НАСЕЛЕНИЯ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per_capita_regional_gross_domestic_product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4.3.  ВАЛОВЫЙ ВЫПУСК ПРОДУКЦИИ (УСЛУГ) СЕЛЬСКОГО, ЛЕСНОГО И РЫБНОГО ХОЗЯЙСТВА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output_of_agricultural_forestry_and_fishery_production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4.4.  ОБЪЕМЫ ПРОМЫШЛЕННОГО ПРОИЗВОДСТВА В ДЕЙСТВУЮЩИХ ЦЕНАХ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industrial_production_volume_at_current_prices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4.5.  ЧИСЛЕННОСТЬ НАСЕЛЕНИЯ РЕСПУБЛИКИ КАЗАХСТАН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population_at_the_beginning_of_the_year_kz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4.6.  ЧИСЛЕННОСТЬ НАСЕЛЕНИЯ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population_at_the_beginning_of_the_year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4.7.  УРБАНИЗАЦИЯ (ДОЛЯ ГОРОДСКОГО К ОБЩЕЙ ЧИСЛЕННОСТИ НАСЕЛЕНИЯ РАСЧЁТНО)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 1 авг. 2023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0.5816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0.5871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0.2302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0.2197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0.16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0.5151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0.5201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0.3973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0.7962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0.7961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0.7974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0.5796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0.4457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0.4077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0.3997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0.3959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0.7067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0.7057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0.4607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0.49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0.1967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0.1963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0.2012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5. ЗЕЛЕНАЯ ЭКОНОМИКА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5.1.  ОСНОВНЫЕ ПОКАЗАТЕЛИ В СФЕРЕ НИЗКОУГЛЕРОДНОГО РАЗВИТИЯ И ОКРУЖАЮЩЕЙ СРЕДЫ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low_carbon_development_and_environmental_indicators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5.2.  ОБЪЕМЫ ВЫБРОСОВ ПАРНИКОВЫХ ГАЗОВ ПО СТРАНАМ ЗА 2018 ГОД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greenhouse_gas_emissions_by_country_2018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5.3.  СУММАРНЫЙ ОБЪЕМ ВЫБРОСОВ ПАРНИКОВЫХ ГАЗОВ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млн тонн СО2 эквивалента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Наименование страны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Объем выбросов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от общего объема выбросов.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310514.6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298658.6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17.1%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Страны ЕС (27)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228623.9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13.1%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6.4%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86018.7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4.9%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61388.1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3.5%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39898.3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2.3%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Украина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31227.8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30881.6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Мексика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26093.1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1.5%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Индонезия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25586.9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1.5%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Иран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22930.4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1.3%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Австралия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22902.4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1.3%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ЮАР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20746.2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1.2%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20147.4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1.2%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Саудовская Аравия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17007.7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1.0%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Нигерия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14701.9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Аргентина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14696.3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13531.6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 топ-20 стран/юрисдикций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1 412 053.4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Остальной мир (около 170 стран)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332 018.3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0.19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5.4.  ОБЪЕМ ВЫБРОСОВ ПАРНИКОВЫХ ГАЗОВ НА ДУШУ НАСЕЛЕНИЯ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greenhouse_gas_emissions_per_capita_by_country_1970_2018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5.5.  ОБЪЕМ ВЫБРОСОВ ПАРНИКОВЫХ ГАЗОВ ПО ОТНОШЕНИЮ К ВВП ПО СТРАНАМ ЗА ПЕРИОД 1990-2018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greenhouse_gas_emissions_as_percentage_of_gdp_by_country_1990_2018</w:t>
      </w:r>
    </w:p>
    <w:p/>
    <w:p>
      <w:pPr>
        <w:jc w:val="center"/>
      </w:pPr>
      <w:r>
        <w:rPr>
          <w:rFonts w:ascii="Arial" w:hAnsi="Arial"/>
          <w:b/>
          <w:sz w:val="32"/>
        </w:rPr>
        <w:t>6. НАЦИОНАЛЬНЫЙ ПЛАН РАЗВИТИЯ РЕСПУБЛИКИ КАЗАХСТАН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6.1.  СПРАВЕДЛИВАЯ СОЦИАЛЬНАЯ ПОЛИТИКА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fair_social_policy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6.2.  ДОСТУПНАЯ И ЭФФЕКТИВНАЯ СИСТЕМА ЗДРАВООХРАНЕНИЯ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accessible_and_effective_healthcare_system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6.3.  КАЧЕСТВЕННОЕ ОБРАЗОВАНИЕ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quality_education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6.4.  СПРАВЕДЛИВОЕ И ЭФФЕКТИВНОЕ ГОСУДАРСТВО НА ЗАЩИТЕ ИНТЕРЕСОВ ГРАЖДАН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fair_and_effective_state_protecting_citizens_interests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6.5.  НОВАЯ МОДЕЛЬ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new_model_of_public_administration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6.6.  КУЛЬТИВИРОВАНИЕ ЦЕННОСТЕЙ ПАТРИОТИЗМА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fostering_patriotism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6.7.  УКРЕПЛЕНИЕ НАЦИОНАЛЬНОЙ БЕЗОПАСНОСТИ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процентиль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37.74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ненаблюдаемой (теневой) экономики, 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в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отраслям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Операции с недвижимым имуществом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Транспорт и складирование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Сельское.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Ощущение личной, имущественной и общественной безопасности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%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6.8.  ПОСТРОЕНИЕ ДИВЕРСИФИЦИРОВАННОЙ И ИННОВАЦИОННОЙ ЭКОНОМИКИ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diversified_and_innovative_economy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6.9.  АКТИВНОЕ РАЗВИТИЕ ЭКОНОМИЧЕСКОЙ И ТОРГОВОЙ ДИПЛОМАТИИ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active_economic_and_trade_diplomacy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6.10.  СБАЛАНСИРОВАННОЕ ТЕРРИТОРИАЛЬНОЕ РАЗВИТИЕ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balanced_regional_development</w:t>
      </w:r>
    </w:p>
    <w:p/>
    <w:p>
      <w:pPr>
        <w:jc w:val="center"/>
      </w:pPr>
      <w:r>
        <w:rPr>
          <w:rFonts w:ascii="Arial" w:hAnsi="Arial"/>
          <w:b/>
          <w:sz w:val="32"/>
        </w:rPr>
        <w:t>7. НАЦИОНАЛЬНЫЕ ПРОЕКТЫ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7.1.  НАЦИОНАЛЬНЫЙ ПРОЕКТ "УСТОЙЧИВЫЙ ЭКОНОМИЧЕСКИЙ РОСТ, НАПРАВЛЕННЫЙ НА ПОВЫШЕНИЕ БЛАГОСОСТОЯНИЯ КАЗАХСТАНЦЕВ"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крупных и средних предприятий в обрабатывающей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промышленности.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использующих цифровые технологии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Объем производства в обрабатывающей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13232.7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16807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промышленности (по годам)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Рост объема производства нефтегазохимической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тыс. тонн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продукции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тыс. кв. км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сформированных .ед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инвестиционных пакетов геологической информации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обеспеченности государственной инфраструктурой по хранению и обработке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геологических материалов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Объем вводимых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электрических мощностей путем реализации 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Объем вводимых электрических мощностей ПГУ (г. Алматы. Алматинская. Туркестанская 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 области) (с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Рост протяженности второй цепи транзита между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Западно-Казахстанской.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Атырауской и Мангистауской областями (220 кВ) (снакоплением)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Объем вводимых электрических мощностей ВИЭ (с накоплением)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несырьевого экспорта в общем объеме внешней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торговли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количества активных экспортеров до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1000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модернизированных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испытательных лабораторий от общего количества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испытательных лабораторий к уровню 2020 года (2020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– 915)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 xml:space="preserve">7.2.  НАЦИОНАЛЬНЫЙ ПРОЕКТ ПО РАЗВИТИЮ ПРЕДПРИНИМАТЕЛЬСТВА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entrepreneurship_development_project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7.3.  НАЦИОНАЛЬНЫЙ ПРОЕКТ "СИЛЬНЫЕ РЕГИОНЫ - ДРАЙВЕР РАЗВИТИЯ СТРАНЫ"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ед, изм,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Охват жителей, проживающих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окраинах городов Астанаа, Алматы, Шымкента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модернизированных опорных и спутниковых СНП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спец-ов в области здраво-охранения, образования, социально-го обеспечения, культуры, спорта и  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стро-ительство жилья, прибывших для работы и прожива-ния в сельские населенные пункты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переселенцев в рамках межрегиональной трудовой мобильности (Юг-Север)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 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соотечественников (кандасов), переехавших в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 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 доступа населения к услугам водоснабжения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очистки сточных вод 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городах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обеспеченности общедо-мовыми приборами учета тепла и воды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Общая площадь введенных в эксплуатацию жилых зданий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кв,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метров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1878.7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2902.2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212.9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квартир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автомобильных дорог респ, значения в нормативном состоянии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автомобильных дорог местного значения в нормативном состоянии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автомобильных дорог, обеспеченных объектами придорожного сервиса в соответствии с нац, стандартом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Рост объема транзита через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тонн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территорию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том числе контейнеров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1129.2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ДФЭ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контейнерного потока в Транскаспийском направлении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 ДФЭ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Модернизация наземной инфра-структуры 5-ти аэропортов Казахстана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Восстановление 8-ми аэродромов местных воздушных линий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износа тех, флота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7.4.  ХОД РЕАЛИЗАЦИИ ПРОЕКТА "АУЫЛ - ЕЛ БЕСІГІ"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aul_el_besig_project_progress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7.5.  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874308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623480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176354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988535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686046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1980854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1391956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121201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79534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969544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516747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584194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246593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1611247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991774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351792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119355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48534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790359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481322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201058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821887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461780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1902376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1073425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500185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93684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131136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66304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831993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621675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160086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871024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567196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701122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156299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1346930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960022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287736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58242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14780550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9497183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3522215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482692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429948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711692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1733596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1374196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281706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50475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953195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626982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222185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35654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2558179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1695639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620353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73701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155083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1481281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80940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1328793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740221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96260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2233540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1419495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441226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98202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1013944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631521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271443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1144482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640235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278468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2116517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1145859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675841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89029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122150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74490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833324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217703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1199672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809471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215086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85929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1066341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647608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272094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2024038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1372676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63573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19841984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12620803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4810680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169749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719911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663497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754281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 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1482687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1047624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51061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797557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541943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155723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2471800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1457138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717271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63306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236276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1401594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863088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51835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87119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1071192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631690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157099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120326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61441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1694432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941123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422722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61671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1022518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672974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250682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35301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33296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1171449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116816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1977585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1035727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77584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152506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951045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615228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257958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973552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651760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966571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584537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246727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1989828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1149732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608195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18208085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11020115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4540491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599694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671738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927014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275968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Регион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План на год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 на отчетный период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 том числе 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%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соц,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освое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ния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19097055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2974825.2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19026616.1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11640005.5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4503613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654671.3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816593.7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849684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358586.7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572068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78780.9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571567.6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297026.8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157043.5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18319.5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17981.9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40661.5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22797.1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17737.3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1189976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165095.7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1189975.6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825794.5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242933.8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26759.3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647825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140401.7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647788.7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386567.2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133064.3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18280.6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42923.8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57763.8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1497809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293741.7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1497713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1004101.5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381343.5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32161.5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43350.5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191626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38593.8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99734.5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817796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817156.3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494709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198938.5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17623.3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50400.5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1329137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156806.6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1329136.1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819345.6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188374.5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73412.5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64224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Жетісу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136609.8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1056731.4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698613.6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238660.8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41350.5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1745910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1740937.5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1070630.1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351565.3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9230.5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118764.5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102014.3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15633.9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73099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975862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107511.3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975859.2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578880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268683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1073630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144879.9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1073628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586689.9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281486.1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81168.2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39364.6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80324.6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2375357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202369.4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2373432.3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1310900.9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730045.6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68917.5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102925.8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960251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131071.3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954211.1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619370.6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242950.5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1199165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178414.5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1153380.8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703948.3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273942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30262.5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43723.5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62749.5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1121485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267093.6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1121409.2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704298.8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256525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44395.5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2108876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496412.3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2108875.5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1284035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471798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55133.5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149832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120509.5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Ұлытау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233549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23653.5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223188.8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155359.5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40313.6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9136.7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0.96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7.6.  ИНФОРМАЦИЯ О СПЕЦИАЛИСТАХ, ПОЛУЧИВШИХ ПОДЪЕМНОЕ ПОСОБИЕ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108247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119207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62495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29922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122639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72821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123978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82210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94915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59008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76861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67216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98652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67645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1641171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1114419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376342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67766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173342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31315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158147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125770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78968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91252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234309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160837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105708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141589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87178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162573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85758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72812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149226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32260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2390473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1607732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544337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63168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138849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127028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89691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21294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305118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196022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176819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146806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78225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142058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177354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129515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93052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110846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204773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148475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32670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409811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252015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2557333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1674955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550716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73217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115804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Регион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План на год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 том числе 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%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Здраво-охранение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соц,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освоения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2987499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2974825.2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1902680.4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645624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38028.4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77681.9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107425.6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131228.8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72156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0.996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78780.9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78780.9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46081.2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2167.5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3745.8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2520.6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165096.5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165095.7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127114.5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3369.3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140401.7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98759.7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7351.2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6125.8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293747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293741.7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2450.4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7044.9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8882.7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38595.2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38593.8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2144.1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96530.8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156821.8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156806.6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101354.6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7044.9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13477.2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Жетісу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136616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136609.8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83619.9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6432.3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5207.1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316861.3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215876.3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15339.3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12899.7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7998.9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107513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107511.3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62791.5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3369.3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5207.1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5819.7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6432.3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144880.9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144879.9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90971.1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5513.4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5513.4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7044.9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202403.8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202369.4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115781.4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57489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13170.9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131259.3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131071.3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82549.3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3404.4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624.3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178722.8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178414.5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115943.1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9518.7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5525.1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5878.2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267095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267093.6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190518.6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13170.9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5819.7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10414.2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496412.3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272279.1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152868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7421.3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20237.1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3063.2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Ұлытау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23653.5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14653.5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0.66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8. МЕЖДУНАРОДНЫЕ РЕЙТИНГИ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8.1.  РЕЙТИНГ МИРОВОЙ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imd_global_competitiveness_ranking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8.2.  РЕЙТИНГ ЦИФРОВОЙ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imd_digital_competitiveness_ranking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8.3.  РЕЙТИНГ ПО КАЧЕСТВУ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government_quality_ranking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8.4.  ИНДЕКС СОЦИАЛЬНОГО ПРОГРЕССА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Факторы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(163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(168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(169 стран)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"Базовые потребности человека" (питание,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медицина, вода, жилье, безопасность)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"Основы благополучия" (базовые знания,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здоровье, окружающая среда, доступ к информации 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8.5.  ИНДЕКС ЧЕЛОВЕЧЕСКОГО РАЗВИТИЯ ПРООН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human_development_index_undp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8.6.  ИНДЕКС ВОСПРИЯТИЯ КОРРУПЦИИ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corruption_perception_index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8.7.  ИНДЕКС ЭКОНОМИЧЕСКОЙ СВОБОДЫ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economic_freedom_index</w:t>
      </w:r>
    </w:p>
    <w:p/>
    <w:p>
      <w:pPr>
        <w:jc w:val="left"/>
      </w:pPr>
      <w:r>
        <w:rPr>
          <w:rFonts w:ascii="Arial" w:hAnsi="Arial"/>
          <w:color w:val="00008B"/>
          <w:sz w:val="24"/>
        </w:rPr>
        <w:t>8.8.  ИНДЕКС ВЕРХОВЕНСТВА ЗАКОНА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2019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2020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2021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2022 год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(126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(128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(139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(140 стран)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Ограничение полномочий институтов власти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Отсутствие коррупции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Прозрачность институтов власти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Защита основных прав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Порядок и безопасность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Регулятивное правоприменение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Гражданское правосудие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Уголовное правосудие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</w:tbl>
    <w:p/>
    <w:p>
      <w:pPr>
        <w:jc w:val="left"/>
      </w:pPr>
      <w:r>
        <w:rPr>
          <w:rFonts w:ascii="Arial" w:hAnsi="Arial"/>
          <w:color w:val="00008B"/>
          <w:sz w:val="24"/>
        </w:rPr>
        <w:t>8.9.  ГЛОБАЛЬНЫЙ ИНДЕКС ИННОВАЦИЙ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global_innovation_index</w:t>
      </w:r>
    </w:p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61D" w:rsidRDefault="00B5761D">
      <w:r>
        <w:separator/>
      </w:r>
    </w:p>
  </w:endnote>
  <w:endnote w:type="continuationSeparator" w:id="1">
    <w:p w:rsidR="00B5761D" w:rsidRDefault="00B5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0C1813">
        <w:pPr>
          <w:pStyle w:val="a7"/>
          <w:jc w:val="center"/>
          <w:rPr>
            <w:rFonts w:ascii="Arial" w:hAnsi="Arial" w:cs="Arial"/>
            <w:lang w:val="ru-RU"/>
          </w:rPr>
        </w:pPr>
        <w:r w:rsidRPr="000C1813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209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0C1813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61D" w:rsidRDefault="00B5761D">
      <w:r>
        <w:separator/>
      </w:r>
    </w:p>
  </w:footnote>
  <w:footnote w:type="continuationSeparator" w:id="1">
    <w:p w:rsidR="00B5761D" w:rsidRDefault="00B57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5025C"/>
    <w:rsid w:val="00750FB3"/>
    <w:rsid w:val="007528AB"/>
    <w:rsid w:val="0075290E"/>
    <w:rsid w:val="00753BAB"/>
    <w:rsid w:val="00755E38"/>
    <w:rsid w:val="0076125F"/>
    <w:rsid w:val="0076225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54</cp:revision>
  <cp:lastPrinted>2023-09-19T12:00:00Z</cp:lastPrinted>
  <dcterms:created xsi:type="dcterms:W3CDTF">2023-06-19T06:38:00Z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