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WhatsApp AI Dispatch Agent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A90A4"/>
          <w:sz w:val="28"/>
          <w:szCs w:val="28"/>
        </w:rPr>
        <w:t xml:space="preserve">Ride Control API Usage Notice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2.0  |  May 2026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Summary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have moved the entire driver-confirmation flow onto our own server. As a result, no new development is required on the Ride Control side. This document describes how our system uses your existing API.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What we will use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Two endpoints from your existing supplier API, called from our server using the supplier API token already issued to us:</w:t>
      </w:r>
    </w:p>
    <w:p>
      <w:pPr>
        <w:spacing w:after="80" w:before="80"/>
      </w:pPr>
      <w: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POST https://ridecontrolapi.tlv-transfers.com/rest/default/supplier/assigndriver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Body: { "bookingid": &lt;int&gt;, "drivercode": "&lt;string&gt;" }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POST https://ridecontrolapi.tlv-transfers.com/rest/default/supplier/updatefields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Body: { "bookingid": &lt;int&gt;, "suppliernotes": "&lt;string&gt;" }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How the new flow works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new booking arrives in Ride Control. No automatic action; our system has zero awareness.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Dispatcher manually copies booking details into our dashboard. The trip enters our queue.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Dispatcher drags the trip onto a driver region. Our system messages drivers via WhatsApp Cloud API with an HMAC-signed approval link pointing to our server.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Driver clicks the link → lands on our approval page → presses Approve or Decline.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 Approve: our server calls your /assigndriver and /updatefields. The booking is now updated on your side.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 Decline: our system silently re-queues the trip to the next-best driver.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Security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Approval links carry an HMAC-SHA256 signature with a server-only secret. Tampering is rejected.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Signed links expire automatically after a fixed TTL (currently 2.5 hours).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Already-resolved offers cannot be re-approved (status check on every action).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Driver login is not required; the unguessable signed token is the auth.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What we need from you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Nothing in code — the existing API is sufficient. We would just appreciate confirmation that: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Our supplier API token remains valid and has permission for /assigndriver and /updatefields.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There are no rate limits we should be aware of for these two endpoints at our expected volume (~50 calls/day).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drivercode parameter format is a string matching your internal driver records (please confirm).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Contact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Dan Azaryad — azaryad@gmail.com</w:t>
      </w:r>
    </w:p>
    <w:p>
      <w:pPr>
        <w:spacing w:after="80" w:before="80"/>
      </w:pPr>
      <w:r>
        <w:t xml:space="preserve"/>
      </w:r>
    </w:p>
    <w:p>
      <w:pPr>
        <w:spacing w:after="0" w:before="4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— End of Document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2026-05-05T21:35:53.586Z</dcterms:created>
  <dcterms:modified xsi:type="dcterms:W3CDTF">2026-05-05T21:35:53.586Z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