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72683">
      <w:pPr>
        <w:spacing w:after="40"/>
      </w:pPr>
      <w:r>
        <w:rPr>
          <w:b/>
          <w:bCs/>
          <w:sz w:val="30"/>
          <w:szCs w:val="30"/>
        </w:rPr>
        <w:t>Parches — M</w:t>
      </w:r>
      <w:r>
        <w:rPr>
          <w:rFonts w:hint="default"/>
          <w:b/>
          <w:bCs/>
          <w:sz w:val="30"/>
          <w:szCs w:val="30"/>
          <w:lang w:val="es-MX"/>
        </w:rPr>
        <w:t>astriz</w:t>
      </w:r>
      <w:bookmarkStart w:id="0" w:name="_GoBack"/>
      <w:bookmarkEnd w:id="0"/>
      <w:r>
        <w:rPr>
          <w:b/>
          <w:bCs/>
          <w:sz w:val="30"/>
          <w:szCs w:val="30"/>
        </w:rPr>
        <w:t xml:space="preserve"> Canvas</w:t>
      </w:r>
    </w:p>
    <w:tbl>
      <w:tblPr>
        <w:tblStyle w:val="9"/>
        <w:tblW w:w="14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7"/>
        <w:gridCol w:w="2502"/>
        <w:gridCol w:w="3238"/>
        <w:gridCol w:w="2502"/>
        <w:gridCol w:w="3681"/>
      </w:tblGrid>
      <w:tr w14:paraId="34FF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2797" w:type="dxa"/>
            <w:vMerge w:val="restart"/>
            <w:shd w:val="clear" w:color="auto" w:fill="C7DAF1" w:themeFill="text2" w:themeFillTint="32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8953B4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1. Socios clave</w:t>
            </w:r>
          </w:p>
          <w:p w14:paraId="617B22A6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Nivel 1 (habilitantes): proveedor de verificación biométrica certificado; aseguradora de responsabilidad civil y de fuerza mayor/cancelación de eventos, con cobertura específica de riesgo sísmico y catástrofe natural (Ley 1523 de 2012)</w:t>
            </w:r>
          </w:p>
          <w:p w14:paraId="2F62E8FC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Nivel 2 (operación): pasarela de pago local, 1-2 recintos ancla, e ingenieros o firmas certificadoras de seguridad estructural para recintos en zonas de riesgo sísmico medio-alto</w:t>
            </w:r>
          </w:p>
          <w:p w14:paraId="7AC5315D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Nivel 3 (crecimiento): programas estatales de apoyo a startups tech y fondos de reconstrucción post-terremoto (p. ej. Fondo/Plan Milagro) como palanca de alianzas institucionales en la fase de recuperación 2026-2027, no como dependencia</w:t>
            </w:r>
          </w:p>
        </w:tc>
        <w:tc>
          <w:tcPr>
            <w:tcW w:w="2502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1DC808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2. Actividades clave</w:t>
            </w:r>
          </w:p>
          <w:p w14:paraId="5DEFFC2A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Construir y operar la plataforma de descubrimiento, reserva y verificación de identidad</w:t>
            </w:r>
          </w:p>
          <w:p w14:paraId="2282630B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Certificar y auditar cada evento/organizador antes de publicarlo -incluida la seguridad estructural del recinto-, como sello de confianza</w:t>
            </w:r>
          </w:p>
          <w:p w14:paraId="4B17A078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Mantener el cumplimiento normativo y la resiliencia operativa (continuidad ante cortes de electricidad, telefonía e internet, como los vividos tras el terremoto del 10 de agosto de 2026) como procesos continuos, no como trámites únicos</w:t>
            </w:r>
          </w:p>
        </w:tc>
        <w:tc>
          <w:tcPr>
            <w:tcW w:w="3238" w:type="dxa"/>
            <w:vMerge w:val="restart"/>
            <w:shd w:val="clear" w:color="auto" w:fill="C7DAF1" w:themeFill="text2" w:themeFillTint="32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C6F304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3. Propuesta de valor</w:t>
            </w:r>
          </w:p>
          <w:p w14:paraId="15A79A18">
            <w:pPr>
              <w:spacing w:after="60"/>
              <w:rPr>
                <w:color w:val="auto"/>
                <w:sz w:val="24"/>
                <w:szCs w:val="28"/>
              </w:rPr>
            </w:pPr>
          </w:p>
          <w:p w14:paraId="347D46A2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Ir a un evento con desconocidos deja de ser un riesgo: identidad verificada en ambos lados de la transacción (Social 21,7% + Tecnológico 20,7%)</w:t>
            </w:r>
          </w:p>
          <w:p w14:paraId="1BDEFF92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Boletería sin fraude ni reventa opaca, gracias a biometría e IA (Tecnológico)</w:t>
            </w:r>
          </w:p>
          <w:p w14:paraId="63186532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Cumplimiento y manejo de datos biométricos como garantía, no como letra pequeña, con precedente ya sancionado por la SIC en boletería (Legal 17,3%)</w:t>
            </w:r>
          </w:p>
          <w:p w14:paraId="6863EBBF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Eventos respaldados por reembolsos claros y protocolos de continuidad ante imprevistos -incluidos sismos y emergencias sanitarias- en un país de alto riesgo sísmico (Económico 16,9% + Ambiental 6,8%, reforzado tras el terremoto de agosto de 2026)</w:t>
            </w:r>
          </w:p>
          <w:p w14:paraId="53BED98D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Precio de entrada accesible para un público con poder adquisitivo aún limitado (aspecto económico más débil de la matriz)</w:t>
            </w:r>
          </w:p>
        </w:tc>
        <w:tc>
          <w:tcPr>
            <w:tcW w:w="2502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AD2496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4. Relación con clientes</w:t>
            </w:r>
          </w:p>
          <w:p w14:paraId="6A2A94EC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Confianza como relación central: la verificación es la razón de volver, no solo el catálogo de eventos</w:t>
            </w:r>
          </w:p>
          <w:p w14:paraId="38FC66B4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Autoservicio para el asistente; acompañamiento dedicado (B2B) para el organizador</w:t>
            </w:r>
          </w:p>
          <w:p w14:paraId="1F2CB93B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Comunicación proactiva de contingencia (aforo, reprogramación, reembolsos) ante emergencias declaradas, reforzando la confianza</w:t>
            </w:r>
          </w:p>
        </w:tc>
        <w:tc>
          <w:tcPr>
            <w:tcW w:w="3680" w:type="dxa"/>
            <w:vMerge w:val="restart"/>
            <w:shd w:val="clear" w:color="auto" w:fill="C7DAF1" w:themeFill="text2" w:themeFillTint="32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5A6CDD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5. Segmentos de clientes</w:t>
            </w:r>
          </w:p>
          <w:p w14:paraId="057669E5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Núcleo: 20-32 años en ciudades grandes, valoran conexión social pero desconfían de encuentros con desconocidos -desconfianza que se intensifica tras el terremoto de agosto de 2026 por la incertidumbre sobre la seguridad estructural de edificaciones y espacios públicos-</w:t>
            </w:r>
          </w:p>
          <w:p w14:paraId="634124D6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Lado oferta: organizadores independientes y recintos medianos, sin músculo para su propia plataforma antifraude</w:t>
            </w:r>
          </w:p>
          <w:p w14:paraId="7CB7597F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Expansión inicial fuera de los cinco departamentos más golpeados (Chocó, Valle del Cauca, Risaralda, Quindío y Caldas), mientras se recupera su infraestructura y actividad económica</w:t>
            </w:r>
          </w:p>
        </w:tc>
      </w:tr>
      <w:tr w14:paraId="0C39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shd w:val="clear" w:color="auto" w:fill="C7DAF1" w:themeFill="text2" w:themeFillTint="32"/>
          </w:tcPr>
          <w:p w14:paraId="628593E2">
            <w:pPr>
              <w:rPr>
                <w:color w:val="auto"/>
                <w:sz w:val="24"/>
                <w:szCs w:val="28"/>
              </w:rPr>
            </w:pPr>
          </w:p>
        </w:tc>
        <w:tc>
          <w:tcPr>
            <w:tcW w:w="2502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3F16DF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6. Recursos clave</w:t>
            </w:r>
          </w:p>
          <w:p w14:paraId="1F5197B0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El activo real no es la app, es la base de identidades verificadas: lo que un competidor no puede copiar rápido</w:t>
            </w:r>
          </w:p>
          <w:p w14:paraId="1AB9CDE0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Equipo legal/compliance interno, dado el volumen de datos biométricos que se va a custodiar</w:t>
            </w:r>
          </w:p>
          <w:p w14:paraId="1ABF6F14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Arquitectura técnica redundante (multi-región, modo offline) que resista cortes de conectividad como los del terremoto de agosto de 2026</w:t>
            </w:r>
          </w:p>
          <w:p w14:paraId="03F7D096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Capital y fondo de contingencia para certificaciones, seguros y reembolsos por fuerza mayor antes de generar ingresos relevantes</w:t>
            </w:r>
          </w:p>
        </w:tc>
        <w:tc>
          <w:tcPr>
            <w:vMerge w:val="continue"/>
            <w:shd w:val="clear" w:color="auto" w:fill="C7DAF1" w:themeFill="text2" w:themeFillTint="32"/>
          </w:tcPr>
          <w:p w14:paraId="713589ED">
            <w:pPr>
              <w:rPr>
                <w:color w:val="auto"/>
                <w:sz w:val="24"/>
                <w:szCs w:val="28"/>
              </w:rPr>
            </w:pPr>
          </w:p>
        </w:tc>
        <w:tc>
          <w:tcPr>
            <w:tcW w:w="2502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5E2837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7. Canales</w:t>
            </w:r>
          </w:p>
          <w:p w14:paraId="6FFA156E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Digital propio como canal principal, apoyado en el alto uso de smartphones (Tecnológico)</w:t>
            </w:r>
          </w:p>
          <w:p w14:paraId="3D08F363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Boca a boca dentro de comunidades y 'parches' existentes, más barato y creíble que pauta paga en esta etapa</w:t>
            </w:r>
          </w:p>
        </w:tc>
        <w:tc>
          <w:tcPr>
            <w:vMerge w:val="continue"/>
            <w:shd w:val="clear" w:color="auto" w:fill="C7DAF1" w:themeFill="text2" w:themeFillTint="32"/>
          </w:tcPr>
          <w:p w14:paraId="64D84ACD">
            <w:pPr>
              <w:rPr>
                <w:color w:val="auto"/>
                <w:sz w:val="24"/>
                <w:szCs w:val="28"/>
              </w:rPr>
            </w:pPr>
          </w:p>
        </w:tc>
      </w:tr>
      <w:tr w14:paraId="5346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99" w:type="dxa"/>
            <w:gridSpan w:val="2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971B51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8. Estructura de costos</w:t>
            </w:r>
          </w:p>
          <w:p w14:paraId="70F5BA35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El costo variable más sensible es la verificación biométrica por usuario: define cuánto puedes bajar la comisión</w:t>
            </w:r>
          </w:p>
          <w:p w14:paraId="58F6EF56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Seguros, cumplimiento legal y prima de cobertura contra catástrofe/cancelación de eventos pesan más al inicio que el marketing, al revés de un e-commerce típico</w:t>
            </w:r>
          </w:p>
          <w:p w14:paraId="3A6AC449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Presión inflacionaria adicional por reconstrucción post-terremoto (~10 pbs al cierre de 2026, según Banco de Occidente) sobre servidores, logística y operación</w:t>
            </w:r>
          </w:p>
        </w:tc>
        <w:tc>
          <w:tcPr>
            <w:tcW w:w="9420" w:type="dxa"/>
            <w:gridSpan w:val="3"/>
            <w:shd w:val="clear" w:color="auto" w:fill="C7DAF1" w:themeFill="text2" w:themeFillTint="32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BC43DDF">
            <w:pPr>
              <w:spacing w:after="60"/>
              <w:rPr>
                <w:color w:val="auto"/>
                <w:sz w:val="24"/>
                <w:szCs w:val="28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9. Fuentes de ingresos</w:t>
            </w:r>
          </w:p>
          <w:p w14:paraId="31D1F8AC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Comisión por boleto, mantenida deliberadamente baja frente al poder adquisitivo débil detectado en el PESTEL</w:t>
            </w:r>
          </w:p>
          <w:p w14:paraId="19C1087B">
            <w:pPr>
              <w:spacing w:after="40"/>
              <w:rPr>
                <w:color w:val="auto"/>
                <w:sz w:val="24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• Suscripción B2B a organizadores, no al asistente: es quien más valora la reducción de fraude, reventa y ahora también el respaldo legal/asegurador ante cancelaciones por fuerza mayor</w:t>
            </w:r>
          </w:p>
        </w:tc>
      </w:tr>
    </w:tbl>
    <w:p w14:paraId="14C82D7C">
      <w:pPr>
        <w:sectPr>
          <w:pgSz w:w="15840" w:h="12240" w:orient="landscape"/>
          <w:pgMar w:top="560" w:right="560" w:bottom="560" w:left="560" w:header="708" w:footer="708" w:gutter="0"/>
          <w:cols w:space="720" w:num="1"/>
          <w:docGrid w:linePitch="360" w:charSpace="0"/>
        </w:sectPr>
      </w:pPr>
    </w:p>
    <w:p w14:paraId="144D2792">
      <w:pPr>
        <w:spacing w:after="80"/>
      </w:pPr>
    </w:p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AF39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1380</Words>
  <Characters>7608</Characters>
  <TotalTime>6</TotalTime>
  <ScaleCrop>false</ScaleCrop>
  <LinksUpToDate>false</LinksUpToDate>
  <CharactersWithSpaces>8930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2026-08-31T01:33:00Z</dcterms:created>
  <dc:creator>Un-named</dc:creator>
  <cp:lastModifiedBy>Issa Moreno</cp:lastModifiedBy>
  <dcterms:modified xsi:type="dcterms:W3CDTF">2026-08-31T01:53:57Z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eyJoZGlkIjoiZTkyMTMwZTk3OWFhYWFjMDQ3ZGNhNmI5OTY3NDUxNWIiLCJ1c2VySWQiOiIxNjY3MTM2NjA2MTk0In0=</vt:lpwstr>
  </property>
  <property fmtid="{D5CDD505-2E9C-101B-9397-08002B2CF9AE}" pid="3" name="KSOProductBuildVer">
    <vt:lpwstr>2058-12.1.0.28485</vt:lpwstr>
  </property>
  <property fmtid="{D5CDD505-2E9C-101B-9397-08002B2CF9AE}" pid="4" name="ICV">
    <vt:lpwstr>2A378D286D6848428EF758159BDF1C12_13</vt:lpwstr>
  </property>
</Properties>
</file>