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6"/>
          <w:szCs w:val="46"/>
        </w:rPr>
        <w:t xml:space="preserve">SALES PERFORMANCE REPORT</w:t>
      </w:r>
    </w:p>
    <w:p>
      <w:pPr>
        <w:spacing w:after="40"/>
        <w:jc w:val="center"/>
      </w:pPr>
      <w:r>
        <w:rPr>
          <w:b/>
          <w:bCs/>
          <w:color w:val="2E75B6"/>
          <w:sz w:val="24"/>
          <w:szCs w:val="24"/>
        </w:rPr>
        <w:t xml:space="preserve">FY 2023 – 2024  |  Regional &amp; Product Sales Analysis</w:t>
      </w:r>
    </w:p>
    <w:p>
      <w:pPr>
        <w:spacing w:after="320"/>
        <w:jc w:val="center"/>
      </w:pPr>
      <w:r>
        <w:rPr>
          <w:i/>
          <w:iCs/>
          <w:color w:val="595959"/>
          <w:sz w:val="20"/>
          <w:szCs w:val="20"/>
        </w:rPr>
        <w:t xml:space="preserve">Prepared: July 27, 2026</w:t>
      </w:r>
    </w:p>
    <w:p>
      <w:pPr>
        <w:pStyle w:val="Heading1"/>
        <w:spacing w:after="160" w:before="320"/>
      </w:pPr>
      <w:r>
        <w:rPr>
          <w:b/>
          <w:bCs/>
          <w:color w:val="1F3864"/>
        </w:rPr>
        <w:t xml:space="preserve">Executive Summary</w:t>
      </w:r>
    </w:p>
    <w:p>
      <w:pPr>
        <w:spacing w:after="180" w:line="300"/>
      </w:pPr>
      <w:r>
        <w:rPr>
          <w:color w:val="262626"/>
        </w:rPr>
        <w:t xml:space="preserve">This report presents a comprehensive analysis of company sales performance across four regions (East, North, South, and West) and five product categories (Laptop, Monitor, Printer, Keyboard, and Mouse) over the period 2023–2024. The data is drawn from 100 transaction records and consolidated into an interactive Excel dashboard supported by Pivot Tables and Slicers.</w:t>
      </w:r>
    </w:p>
    <w:p>
      <w:pPr>
        <w:spacing w:after="180" w:line="300"/>
      </w:pPr>
      <w:r>
        <w:rPr>
          <w:color w:val="262626"/>
        </w:rPr>
        <w:t xml:space="preserve">Overall, total sales stood at ₹27,23,000 across 100 orders, with an average order value of ₹27,230. Laptops emerged as the dominant revenue driver, while the North region led in regional performance. Sales activity was notably stronger in the first eight months of the year, with a marked decline from September onward.</w:t>
      </w:r>
    </w:p>
    <w:p>
      <w:pPr>
        <w:pStyle w:val="Heading1"/>
        <w:spacing w:after="160" w:before="320"/>
      </w:pPr>
      <w:r>
        <w:rPr>
          <w:b/>
          <w:bCs/>
          <w:color w:val="1F3864"/>
        </w:rPr>
        <w:t xml:space="preserve">Key Performance Indicators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pct" w:w="20%"/>
            <w:shd w:fill="DCE9F5" w:val="clear"/>
            <w:tcMar>
              <w:top w:type="dxa" w:w="160"/>
              <w:left w:type="dxa" w:w="100"/>
              <w:bottom w:type="dxa" w:w="160"/>
              <w:right w:type="dxa" w:w="100"/>
            </w:tcMar>
            <w:vAlign w:val="center"/>
          </w:tcPr>
          <w:p>
            <w:pPr>
              <w:spacing w:after="60"/>
              <w:jc w:val="center"/>
            </w:pPr>
            <w:r>
              <w:rPr>
                <w:b/>
                <w:bCs/>
                <w:color w:val="595959"/>
                <w:sz w:val="18"/>
                <w:szCs w:val="18"/>
              </w:rPr>
              <w:t xml:space="preserve">Total Sales</w:t>
            </w:r>
          </w:p>
          <w:p>
            <w:pPr>
              <w:jc w:val="center"/>
            </w:pPr>
            <w:r>
              <w:rPr>
                <w:b/>
                <w:bCs/>
                <w:color w:val="1E7B45"/>
                <w:sz w:val="26"/>
                <w:szCs w:val="26"/>
              </w:rPr>
              <w:t xml:space="preserve">₹27,23,000</w:t>
            </w:r>
          </w:p>
        </w:tc>
        <w:tc>
          <w:tcPr>
            <w:tcW w:type="pct" w:w="20%"/>
            <w:shd w:fill="DCE9F5" w:val="clear"/>
            <w:tcMar>
              <w:top w:type="dxa" w:w="160"/>
              <w:left w:type="dxa" w:w="100"/>
              <w:bottom w:type="dxa" w:w="160"/>
              <w:right w:type="dxa" w:w="100"/>
            </w:tcMar>
            <w:vAlign w:val="center"/>
          </w:tcPr>
          <w:p>
            <w:pPr>
              <w:spacing w:after="60"/>
              <w:jc w:val="center"/>
            </w:pPr>
            <w:r>
              <w:rPr>
                <w:b/>
                <w:bCs/>
                <w:color w:val="595959"/>
                <w:sz w:val="18"/>
                <w:szCs w:val="18"/>
              </w:rPr>
              <w:t xml:space="preserve">Total Orders</w:t>
            </w:r>
          </w:p>
          <w:p>
            <w:pPr>
              <w:jc w:val="center"/>
            </w:pPr>
            <w:r>
              <w:rPr>
                <w:b/>
                <w:bCs/>
                <w:color w:val="6B3FA0"/>
                <w:sz w:val="26"/>
                <w:szCs w:val="26"/>
              </w:rPr>
              <w:t xml:space="preserve">100</w:t>
            </w:r>
          </w:p>
        </w:tc>
        <w:tc>
          <w:tcPr>
            <w:tcW w:type="pct" w:w="20%"/>
            <w:shd w:fill="DCE9F5" w:val="clear"/>
            <w:tcMar>
              <w:top w:type="dxa" w:w="160"/>
              <w:left w:type="dxa" w:w="100"/>
              <w:bottom w:type="dxa" w:w="160"/>
              <w:right w:type="dxa" w:w="100"/>
            </w:tcMar>
            <w:vAlign w:val="center"/>
          </w:tcPr>
          <w:p>
            <w:pPr>
              <w:spacing w:after="60"/>
              <w:jc w:val="center"/>
            </w:pPr>
            <w:r>
              <w:rPr>
                <w:b/>
                <w:bCs/>
                <w:color w:val="595959"/>
                <w:sz w:val="18"/>
                <w:szCs w:val="18"/>
              </w:rPr>
              <w:t xml:space="preserve">Avg Sales</w:t>
            </w:r>
          </w:p>
          <w:p>
            <w:pPr>
              <w:jc w:val="center"/>
            </w:pPr>
            <w:r>
              <w:rPr>
                <w:b/>
                <w:bCs/>
                <w:color w:val="2E75B6"/>
                <w:sz w:val="26"/>
                <w:szCs w:val="26"/>
              </w:rPr>
              <w:t xml:space="preserve">₹27,230</w:t>
            </w:r>
          </w:p>
        </w:tc>
        <w:tc>
          <w:tcPr>
            <w:tcW w:type="pct" w:w="20%"/>
            <w:shd w:fill="DCE9F5" w:val="clear"/>
            <w:tcMar>
              <w:top w:type="dxa" w:w="160"/>
              <w:left w:type="dxa" w:w="100"/>
              <w:bottom w:type="dxa" w:w="160"/>
              <w:right w:type="dxa" w:w="100"/>
            </w:tcMar>
            <w:vAlign w:val="center"/>
          </w:tcPr>
          <w:p>
            <w:pPr>
              <w:spacing w:after="60"/>
              <w:jc w:val="center"/>
            </w:pPr>
            <w:r>
              <w:rPr>
                <w:b/>
                <w:bCs/>
                <w:color w:val="595959"/>
                <w:sz w:val="18"/>
                <w:szCs w:val="18"/>
              </w:rPr>
              <w:t xml:space="preserve">Max Sales</w:t>
            </w:r>
          </w:p>
          <w:p>
            <w:pPr>
              <w:jc w:val="center"/>
            </w:pPr>
            <w:r>
              <w:rPr>
                <w:b/>
                <w:bCs/>
                <w:color w:val="C46210"/>
                <w:sz w:val="26"/>
                <w:szCs w:val="26"/>
              </w:rPr>
              <w:t xml:space="preserve">₹88,700</w:t>
            </w:r>
          </w:p>
        </w:tc>
        <w:tc>
          <w:tcPr>
            <w:tcW w:type="pct" w:w="20%"/>
            <w:shd w:fill="DCE9F5" w:val="clear"/>
            <w:tcMar>
              <w:top w:type="dxa" w:w="160"/>
              <w:left w:type="dxa" w:w="100"/>
              <w:bottom w:type="dxa" w:w="160"/>
              <w:right w:type="dxa" w:w="100"/>
            </w:tcMar>
            <w:vAlign w:val="center"/>
          </w:tcPr>
          <w:p>
            <w:pPr>
              <w:spacing w:after="60"/>
              <w:jc w:val="center"/>
            </w:pPr>
            <w:r>
              <w:rPr>
                <w:b/>
                <w:bCs/>
                <w:color w:val="595959"/>
                <w:sz w:val="18"/>
                <w:szCs w:val="18"/>
              </w:rPr>
              <w:t xml:space="preserve">Min Sales</w:t>
            </w:r>
          </w:p>
          <w:p>
            <w:pPr>
              <w:jc w:val="center"/>
            </w:pPr>
            <w:r>
              <w:rPr>
                <w:b/>
                <w:bCs/>
                <w:color w:val="C00000"/>
                <w:sz w:val="26"/>
                <w:szCs w:val="26"/>
              </w:rPr>
              <w:t xml:space="preserve">₹5,700</w:t>
            </w:r>
          </w:p>
        </w:tc>
      </w:tr>
    </w:tbl>
    <w:p>
      <w:pPr>
        <w:pStyle w:val="Heading1"/>
        <w:spacing w:after="160" w:before="320"/>
      </w:pPr>
      <w:r>
        <w:rPr>
          <w:b/>
          <w:bCs/>
          <w:color w:val="1F3864"/>
        </w:rPr>
        <w:t xml:space="preserve">Regional Sales Performance</w:t>
      </w:r>
    </w:p>
    <w:p>
      <w:pPr>
        <w:spacing w:after="180" w:line="300"/>
      </w:pPr>
      <w:r>
        <w:rPr>
          <w:color w:val="262626"/>
        </w:rPr>
        <w:t xml:space="preserve">The North region generated the highest sales contribution, followed by East, West, and South. The distribution below shows each region's share of total revenue and order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50"/>
      </w:tblGrid>
      <w:tr>
        <w:trPr>
          <w:tblHeader/>
        </w:trPr>
        <w:tc>
          <w:tcPr>
            <w:tcW w:type="dxa" w:w="2400"/>
            <w:shd w:fill="1F3864" w:val="clear"/>
            <w:tcMar>
              <w:top w:type="dxa" w:w="100"/>
              <w:left w:type="dxa" w:w="120"/>
              <w:bottom w:type="dxa" w:w="100"/>
              <w:right w:type="dxa" w:w="120"/>
            </w:tcMar>
            <w:vAlign w:val="center"/>
          </w:tcPr>
          <w:p>
            <w:pPr>
              <w:jc w:val="left"/>
            </w:pPr>
            <w:r>
              <w:rPr>
                <w:b/>
                <w:bCs/>
                <w:color w:val="FFFFFF"/>
                <w:sz w:val="20"/>
                <w:szCs w:val="20"/>
              </w:rPr>
              <w:t xml:space="preserve">Region</w:t>
            </w:r>
          </w:p>
        </w:tc>
        <w:tc>
          <w:tcPr>
            <w:tcW w:type="dxa" w:w="2400"/>
            <w:shd w:fill="1F3864" w:val="clear"/>
            <w:tcMar>
              <w:top w:type="dxa" w:w="100"/>
              <w:left w:type="dxa" w:w="120"/>
              <w:bottom w:type="dxa" w:w="100"/>
              <w:right w:type="dxa" w:w="120"/>
            </w:tcMar>
            <w:vAlign w:val="center"/>
          </w:tcPr>
          <w:p>
            <w:pPr>
              <w:jc w:val="right"/>
            </w:pPr>
            <w:r>
              <w:rPr>
                <w:b/>
                <w:bCs/>
                <w:color w:val="FFFFFF"/>
                <w:sz w:val="20"/>
                <w:szCs w:val="20"/>
              </w:rPr>
              <w:t xml:space="preserve">Sales (₹)</w:t>
            </w:r>
          </w:p>
        </w:tc>
        <w:tc>
          <w:tcPr>
            <w:tcW w:type="dxa" w:w="2400"/>
            <w:shd w:fill="1F3864" w:val="clear"/>
            <w:tcMar>
              <w:top w:type="dxa" w:w="100"/>
              <w:left w:type="dxa" w:w="120"/>
              <w:bottom w:type="dxa" w:w="100"/>
              <w:right w:type="dxa" w:w="120"/>
            </w:tcMar>
            <w:vAlign w:val="center"/>
          </w:tcPr>
          <w:p>
            <w:pPr>
              <w:jc w:val="right"/>
            </w:pPr>
            <w:r>
              <w:rPr>
                <w:b/>
                <w:bCs/>
                <w:color w:val="FFFFFF"/>
                <w:sz w:val="20"/>
                <w:szCs w:val="20"/>
              </w:rPr>
              <w:t xml:space="preserve">Share (%)</w:t>
            </w:r>
          </w:p>
        </w:tc>
        <w:tc>
          <w:tcPr>
            <w:tcW w:type="dxa" w:w="2150"/>
            <w:shd w:fill="1F3864" w:val="clear"/>
            <w:tcMar>
              <w:top w:type="dxa" w:w="100"/>
              <w:left w:type="dxa" w:w="120"/>
              <w:bottom w:type="dxa" w:w="100"/>
              <w:right w:type="dxa" w:w="120"/>
            </w:tcMar>
            <w:vAlign w:val="center"/>
          </w:tcPr>
          <w:p>
            <w:pPr>
              <w:jc w:val="right"/>
            </w:pPr>
            <w:r>
              <w:rPr>
                <w:b/>
                <w:bCs/>
                <w:color w:val="FFFFFF"/>
                <w:sz w:val="20"/>
                <w:szCs w:val="20"/>
              </w:rPr>
              <w:t xml:space="preserve">Orders</w:t>
            </w:r>
          </w:p>
        </w:tc>
      </w:tr>
      <w:tr>
        <w:tc>
          <w:tcPr>
            <w:tcW w:type="dxa" w:w="2400"/>
            <w:shd w:fill="FFFFFF" w:val="clear"/>
            <w:tcMar>
              <w:top w:type="dxa" w:w="90"/>
              <w:left w:type="dxa" w:w="120"/>
              <w:bottom w:type="dxa" w:w="90"/>
              <w:right w:type="dxa" w:w="120"/>
            </w:tcMar>
            <w:vAlign w:val="center"/>
          </w:tcPr>
          <w:p>
            <w:pPr>
              <w:jc w:val="left"/>
            </w:pPr>
            <w:r>
              <w:rPr>
                <w:color w:val="262626"/>
                <w:sz w:val="20"/>
                <w:szCs w:val="20"/>
              </w:rPr>
              <w:t xml:space="preserve">North</w:t>
            </w:r>
          </w:p>
        </w:tc>
        <w:tc>
          <w:tcPr>
            <w:tcW w:type="dxa" w:w="2400"/>
            <w:shd w:fill="FFFFFF" w:val="clear"/>
            <w:tcMar>
              <w:top w:type="dxa" w:w="90"/>
              <w:left w:type="dxa" w:w="120"/>
              <w:bottom w:type="dxa" w:w="90"/>
              <w:right w:type="dxa" w:w="120"/>
            </w:tcMar>
            <w:vAlign w:val="center"/>
          </w:tcPr>
          <w:p>
            <w:pPr>
              <w:jc w:val="right"/>
            </w:pPr>
            <w:r>
              <w:rPr>
                <w:color w:val="262626"/>
                <w:sz w:val="20"/>
                <w:szCs w:val="20"/>
              </w:rPr>
              <w:t xml:space="preserve">9,34,600</w:t>
            </w:r>
          </w:p>
        </w:tc>
        <w:tc>
          <w:tcPr>
            <w:tcW w:type="dxa" w:w="2400"/>
            <w:shd w:fill="FFFFFF" w:val="clear"/>
            <w:tcMar>
              <w:top w:type="dxa" w:w="90"/>
              <w:left w:type="dxa" w:w="120"/>
              <w:bottom w:type="dxa" w:w="90"/>
              <w:right w:type="dxa" w:w="120"/>
            </w:tcMar>
            <w:vAlign w:val="center"/>
          </w:tcPr>
          <w:p>
            <w:pPr>
              <w:jc w:val="right"/>
            </w:pPr>
            <w:r>
              <w:rPr>
                <w:color w:val="262626"/>
                <w:sz w:val="20"/>
                <w:szCs w:val="20"/>
              </w:rPr>
              <w:t xml:space="preserve">34%</w:t>
            </w:r>
          </w:p>
        </w:tc>
        <w:tc>
          <w:tcPr>
            <w:tcW w:type="dxa" w:w="2150"/>
            <w:shd w:fill="FFFFFF" w:val="clear"/>
            <w:tcMar>
              <w:top w:type="dxa" w:w="90"/>
              <w:left w:type="dxa" w:w="120"/>
              <w:bottom w:type="dxa" w:w="90"/>
              <w:right w:type="dxa" w:w="120"/>
            </w:tcMar>
            <w:vAlign w:val="center"/>
          </w:tcPr>
          <w:p>
            <w:pPr>
              <w:jc w:val="right"/>
            </w:pPr>
            <w:r>
              <w:rPr>
                <w:color w:val="262626"/>
                <w:sz w:val="20"/>
                <w:szCs w:val="20"/>
              </w:rPr>
              <w:t xml:space="preserve">27</w:t>
            </w:r>
          </w:p>
        </w:tc>
      </w:tr>
      <w:tr>
        <w:tc>
          <w:tcPr>
            <w:tcW w:type="dxa" w:w="2400"/>
            <w:shd w:fill="F2F6FA" w:val="clear"/>
            <w:tcMar>
              <w:top w:type="dxa" w:w="90"/>
              <w:left w:type="dxa" w:w="120"/>
              <w:bottom w:type="dxa" w:w="90"/>
              <w:right w:type="dxa" w:w="120"/>
            </w:tcMar>
            <w:vAlign w:val="center"/>
          </w:tcPr>
          <w:p>
            <w:pPr>
              <w:jc w:val="left"/>
            </w:pPr>
            <w:r>
              <w:rPr>
                <w:color w:val="262626"/>
                <w:sz w:val="20"/>
                <w:szCs w:val="20"/>
              </w:rPr>
              <w:t xml:space="preserve">East</w:t>
            </w:r>
          </w:p>
        </w:tc>
        <w:tc>
          <w:tcPr>
            <w:tcW w:type="dxa" w:w="2400"/>
            <w:shd w:fill="F2F6FA" w:val="clear"/>
            <w:tcMar>
              <w:top w:type="dxa" w:w="90"/>
              <w:left w:type="dxa" w:w="120"/>
              <w:bottom w:type="dxa" w:w="90"/>
              <w:right w:type="dxa" w:w="120"/>
            </w:tcMar>
            <w:vAlign w:val="center"/>
          </w:tcPr>
          <w:p>
            <w:pPr>
              <w:jc w:val="right"/>
            </w:pPr>
            <w:r>
              <w:rPr>
                <w:color w:val="262626"/>
                <w:sz w:val="20"/>
                <w:szCs w:val="20"/>
              </w:rPr>
              <w:t xml:space="preserve">7,64,400</w:t>
            </w:r>
          </w:p>
        </w:tc>
        <w:tc>
          <w:tcPr>
            <w:tcW w:type="dxa" w:w="2400"/>
            <w:shd w:fill="F2F6FA" w:val="clear"/>
            <w:tcMar>
              <w:top w:type="dxa" w:w="90"/>
              <w:left w:type="dxa" w:w="120"/>
              <w:bottom w:type="dxa" w:w="90"/>
              <w:right w:type="dxa" w:w="120"/>
            </w:tcMar>
            <w:vAlign w:val="center"/>
          </w:tcPr>
          <w:p>
            <w:pPr>
              <w:jc w:val="right"/>
            </w:pPr>
            <w:r>
              <w:rPr>
                <w:color w:val="262626"/>
                <w:sz w:val="20"/>
                <w:szCs w:val="20"/>
              </w:rPr>
              <w:t xml:space="preserve">28%</w:t>
            </w:r>
          </w:p>
        </w:tc>
        <w:tc>
          <w:tcPr>
            <w:tcW w:type="dxa" w:w="2150"/>
            <w:shd w:fill="F2F6FA" w:val="clear"/>
            <w:tcMar>
              <w:top w:type="dxa" w:w="90"/>
              <w:left w:type="dxa" w:w="120"/>
              <w:bottom w:type="dxa" w:w="90"/>
              <w:right w:type="dxa" w:w="120"/>
            </w:tcMar>
            <w:vAlign w:val="center"/>
          </w:tcPr>
          <w:p>
            <w:pPr>
              <w:jc w:val="right"/>
            </w:pPr>
            <w:r>
              <w:rPr>
                <w:color w:val="262626"/>
                <w:sz w:val="20"/>
                <w:szCs w:val="20"/>
              </w:rPr>
              <w:t xml:space="preserve">29</w:t>
            </w:r>
          </w:p>
        </w:tc>
      </w:tr>
      <w:tr>
        <w:tc>
          <w:tcPr>
            <w:tcW w:type="dxa" w:w="2400"/>
            <w:shd w:fill="FFFFFF" w:val="clear"/>
            <w:tcMar>
              <w:top w:type="dxa" w:w="90"/>
              <w:left w:type="dxa" w:w="120"/>
              <w:bottom w:type="dxa" w:w="90"/>
              <w:right w:type="dxa" w:w="120"/>
            </w:tcMar>
            <w:vAlign w:val="center"/>
          </w:tcPr>
          <w:p>
            <w:pPr>
              <w:jc w:val="left"/>
            </w:pPr>
            <w:r>
              <w:rPr>
                <w:color w:val="262626"/>
                <w:sz w:val="20"/>
                <w:szCs w:val="20"/>
              </w:rPr>
              <w:t xml:space="preserve">West</w:t>
            </w:r>
          </w:p>
        </w:tc>
        <w:tc>
          <w:tcPr>
            <w:tcW w:type="dxa" w:w="2400"/>
            <w:shd w:fill="FFFFFF" w:val="clear"/>
            <w:tcMar>
              <w:top w:type="dxa" w:w="90"/>
              <w:left w:type="dxa" w:w="120"/>
              <w:bottom w:type="dxa" w:w="90"/>
              <w:right w:type="dxa" w:w="120"/>
            </w:tcMar>
            <w:vAlign w:val="center"/>
          </w:tcPr>
          <w:p>
            <w:pPr>
              <w:jc w:val="right"/>
            </w:pPr>
            <w:r>
              <w:rPr>
                <w:color w:val="262626"/>
                <w:sz w:val="20"/>
                <w:szCs w:val="20"/>
              </w:rPr>
              <w:t xml:space="preserve">5,49,000</w:t>
            </w:r>
          </w:p>
        </w:tc>
        <w:tc>
          <w:tcPr>
            <w:tcW w:type="dxa" w:w="2400"/>
            <w:shd w:fill="FFFFFF" w:val="clear"/>
            <w:tcMar>
              <w:top w:type="dxa" w:w="90"/>
              <w:left w:type="dxa" w:w="120"/>
              <w:bottom w:type="dxa" w:w="90"/>
              <w:right w:type="dxa" w:w="120"/>
            </w:tcMar>
            <w:vAlign w:val="center"/>
          </w:tcPr>
          <w:p>
            <w:pPr>
              <w:jc w:val="right"/>
            </w:pPr>
            <w:r>
              <w:rPr>
                <w:color w:val="262626"/>
                <w:sz w:val="20"/>
                <w:szCs w:val="20"/>
              </w:rPr>
              <w:t xml:space="preserve">20%</w:t>
            </w:r>
          </w:p>
        </w:tc>
        <w:tc>
          <w:tcPr>
            <w:tcW w:type="dxa" w:w="2150"/>
            <w:shd w:fill="FFFFFF" w:val="clear"/>
            <w:tcMar>
              <w:top w:type="dxa" w:w="90"/>
              <w:left w:type="dxa" w:w="120"/>
              <w:bottom w:type="dxa" w:w="90"/>
              <w:right w:type="dxa" w:w="120"/>
            </w:tcMar>
            <w:vAlign w:val="center"/>
          </w:tcPr>
          <w:p>
            <w:pPr>
              <w:jc w:val="right"/>
            </w:pPr>
            <w:r>
              <w:rPr>
                <w:color w:val="262626"/>
                <w:sz w:val="20"/>
                <w:szCs w:val="20"/>
              </w:rPr>
              <w:t xml:space="preserve">24</w:t>
            </w:r>
          </w:p>
        </w:tc>
      </w:tr>
      <w:tr>
        <w:tc>
          <w:tcPr>
            <w:tcW w:type="dxa" w:w="2400"/>
            <w:shd w:fill="F2F6FA" w:val="clear"/>
            <w:tcMar>
              <w:top w:type="dxa" w:w="90"/>
              <w:left w:type="dxa" w:w="120"/>
              <w:bottom w:type="dxa" w:w="90"/>
              <w:right w:type="dxa" w:w="120"/>
            </w:tcMar>
            <w:vAlign w:val="center"/>
          </w:tcPr>
          <w:p>
            <w:pPr>
              <w:jc w:val="left"/>
            </w:pPr>
            <w:r>
              <w:rPr>
                <w:color w:val="262626"/>
                <w:sz w:val="20"/>
                <w:szCs w:val="20"/>
              </w:rPr>
              <w:t xml:space="preserve">South</w:t>
            </w:r>
          </w:p>
        </w:tc>
        <w:tc>
          <w:tcPr>
            <w:tcW w:type="dxa" w:w="2400"/>
            <w:shd w:fill="F2F6FA" w:val="clear"/>
            <w:tcMar>
              <w:top w:type="dxa" w:w="90"/>
              <w:left w:type="dxa" w:w="120"/>
              <w:bottom w:type="dxa" w:w="90"/>
              <w:right w:type="dxa" w:w="120"/>
            </w:tcMar>
            <w:vAlign w:val="center"/>
          </w:tcPr>
          <w:p>
            <w:pPr>
              <w:jc w:val="right"/>
            </w:pPr>
            <w:r>
              <w:rPr>
                <w:color w:val="262626"/>
                <w:sz w:val="20"/>
                <w:szCs w:val="20"/>
              </w:rPr>
              <w:t xml:space="preserve">4,75,000</w:t>
            </w:r>
          </w:p>
        </w:tc>
        <w:tc>
          <w:tcPr>
            <w:tcW w:type="dxa" w:w="2400"/>
            <w:shd w:fill="F2F6FA" w:val="clear"/>
            <w:tcMar>
              <w:top w:type="dxa" w:w="90"/>
              <w:left w:type="dxa" w:w="120"/>
              <w:bottom w:type="dxa" w:w="90"/>
              <w:right w:type="dxa" w:w="120"/>
            </w:tcMar>
            <w:vAlign w:val="center"/>
          </w:tcPr>
          <w:p>
            <w:pPr>
              <w:jc w:val="right"/>
            </w:pPr>
            <w:r>
              <w:rPr>
                <w:color w:val="262626"/>
                <w:sz w:val="20"/>
                <w:szCs w:val="20"/>
              </w:rPr>
              <w:t xml:space="preserve">18%</w:t>
            </w:r>
          </w:p>
        </w:tc>
        <w:tc>
          <w:tcPr>
            <w:tcW w:type="dxa" w:w="2150"/>
            <w:shd w:fill="F2F6FA" w:val="clear"/>
            <w:tcMar>
              <w:top w:type="dxa" w:w="90"/>
              <w:left w:type="dxa" w:w="120"/>
              <w:bottom w:type="dxa" w:w="90"/>
              <w:right w:type="dxa" w:w="120"/>
            </w:tcMar>
            <w:vAlign w:val="center"/>
          </w:tcPr>
          <w:p>
            <w:pPr>
              <w:jc w:val="right"/>
            </w:pPr>
            <w:r>
              <w:rPr>
                <w:color w:val="262626"/>
                <w:sz w:val="20"/>
                <w:szCs w:val="20"/>
              </w:rPr>
              <w:t xml:space="preserve">20</w:t>
            </w:r>
          </w:p>
        </w:tc>
      </w:tr>
    </w:tbl>
    <w:p>
      <w:pPr>
        <w:spacing w:after="180" w:line="300"/>
      </w:pPr>
      <w:r>
        <w:rPr>
          <w:color w:val="262626"/>
        </w:rPr>
        <w:t xml:space="preserve">Insight: North and East together account for 62% of total revenue, indicating a concentration of demand in these two regions. South, despite having the second-highest order count relative to its region, generated the lowest sales value — suggesting a lower average order size that may warrant targeted upselling.</w:t>
      </w:r>
    </w:p>
    <w:p>
      <w:pPr>
        <w:pStyle w:val="Heading1"/>
        <w:spacing w:after="160" w:before="320"/>
      </w:pPr>
      <w:r>
        <w:rPr>
          <w:b/>
          <w:bCs/>
          <w:color w:val="1F3864"/>
        </w:rPr>
        <w:t xml:space="preserve">Product Sales Contribution</w:t>
      </w:r>
    </w:p>
    <w:p>
      <w:pPr>
        <w:spacing w:after="180" w:line="300"/>
      </w:pPr>
      <w:r>
        <w:rPr>
          <w:color w:val="262626"/>
        </w:rPr>
        <w:t xml:space="preserve">Laptops are by far the top-performing product category, contributing more than 60% of total sales value despite likely being a lower-volume, higher-ticket item.</w:t>
      </w:r>
    </w:p>
    <w:tbl>
      <w:tblPr>
        <w:tblW w:type="dxa" w:w="7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50"/>
      </w:tblGrid>
      <w:tr>
        <w:trPr>
          <w:tblHeader/>
        </w:trPr>
        <w:tc>
          <w:tcPr>
            <w:tcW w:type="dxa" w:w="2400"/>
            <w:shd w:fill="1F3864" w:val="clear"/>
            <w:tcMar>
              <w:top w:type="dxa" w:w="100"/>
              <w:left w:type="dxa" w:w="120"/>
              <w:bottom w:type="dxa" w:w="100"/>
              <w:right w:type="dxa" w:w="120"/>
            </w:tcMar>
            <w:vAlign w:val="center"/>
          </w:tcPr>
          <w:p>
            <w:pPr>
              <w:jc w:val="left"/>
            </w:pPr>
            <w:r>
              <w:rPr>
                <w:b/>
                <w:bCs/>
                <w:color w:val="FFFFFF"/>
                <w:sz w:val="20"/>
                <w:szCs w:val="20"/>
              </w:rPr>
              <w:t xml:space="preserve">Product</w:t>
            </w:r>
          </w:p>
        </w:tc>
        <w:tc>
          <w:tcPr>
            <w:tcW w:type="dxa" w:w="2400"/>
            <w:shd w:fill="1F3864" w:val="clear"/>
            <w:tcMar>
              <w:top w:type="dxa" w:w="100"/>
              <w:left w:type="dxa" w:w="120"/>
              <w:bottom w:type="dxa" w:w="100"/>
              <w:right w:type="dxa" w:w="120"/>
            </w:tcMar>
            <w:vAlign w:val="center"/>
          </w:tcPr>
          <w:p>
            <w:pPr>
              <w:jc w:val="right"/>
            </w:pPr>
            <w:r>
              <w:rPr>
                <w:b/>
                <w:bCs/>
                <w:color w:val="FFFFFF"/>
                <w:sz w:val="20"/>
                <w:szCs w:val="20"/>
              </w:rPr>
              <w:t xml:space="preserve">Sales (₹)</w:t>
            </w:r>
          </w:p>
        </w:tc>
        <w:tc>
          <w:tcPr>
            <w:tcW w:type="dxa" w:w="2550"/>
            <w:shd w:fill="1F3864" w:val="clear"/>
            <w:tcMar>
              <w:top w:type="dxa" w:w="100"/>
              <w:left w:type="dxa" w:w="120"/>
              <w:bottom w:type="dxa" w:w="100"/>
              <w:right w:type="dxa" w:w="120"/>
            </w:tcMar>
            <w:vAlign w:val="center"/>
          </w:tcPr>
          <w:p>
            <w:pPr>
              <w:jc w:val="right"/>
            </w:pPr>
            <w:r>
              <w:rPr>
                <w:b/>
                <w:bCs/>
                <w:color w:val="FFFFFF"/>
                <w:sz w:val="20"/>
                <w:szCs w:val="20"/>
              </w:rPr>
              <w:t xml:space="preserve">Share (%)</w:t>
            </w:r>
          </w:p>
        </w:tc>
      </w:tr>
      <w:tr>
        <w:tc>
          <w:tcPr>
            <w:tcW w:type="dxa" w:w="2400"/>
            <w:shd w:fill="FFFFFF" w:val="clear"/>
            <w:tcMar>
              <w:top w:type="dxa" w:w="90"/>
              <w:left w:type="dxa" w:w="120"/>
              <w:bottom w:type="dxa" w:w="90"/>
              <w:right w:type="dxa" w:w="120"/>
            </w:tcMar>
            <w:vAlign w:val="center"/>
          </w:tcPr>
          <w:p>
            <w:pPr>
              <w:jc w:val="left"/>
            </w:pPr>
            <w:r>
              <w:rPr>
                <w:color w:val="262626"/>
                <w:sz w:val="20"/>
                <w:szCs w:val="20"/>
              </w:rPr>
              <w:t xml:space="preserve">Laptop</w:t>
            </w:r>
          </w:p>
        </w:tc>
        <w:tc>
          <w:tcPr>
            <w:tcW w:type="dxa" w:w="2400"/>
            <w:shd w:fill="FFFFFF" w:val="clear"/>
            <w:tcMar>
              <w:top w:type="dxa" w:w="90"/>
              <w:left w:type="dxa" w:w="120"/>
              <w:bottom w:type="dxa" w:w="90"/>
              <w:right w:type="dxa" w:w="120"/>
            </w:tcMar>
            <w:vAlign w:val="center"/>
          </w:tcPr>
          <w:p>
            <w:pPr>
              <w:jc w:val="right"/>
            </w:pPr>
            <w:r>
              <w:rPr>
                <w:color w:val="262626"/>
                <w:sz w:val="20"/>
                <w:szCs w:val="20"/>
              </w:rPr>
              <w:t xml:space="preserve">16,86,700</w:t>
            </w:r>
          </w:p>
        </w:tc>
        <w:tc>
          <w:tcPr>
            <w:tcW w:type="dxa" w:w="2550"/>
            <w:shd w:fill="FFFFFF" w:val="clear"/>
            <w:tcMar>
              <w:top w:type="dxa" w:w="90"/>
              <w:left w:type="dxa" w:w="120"/>
              <w:bottom w:type="dxa" w:w="90"/>
              <w:right w:type="dxa" w:w="120"/>
            </w:tcMar>
            <w:vAlign w:val="center"/>
          </w:tcPr>
          <w:p>
            <w:pPr>
              <w:jc w:val="right"/>
            </w:pPr>
            <w:r>
              <w:rPr>
                <w:color w:val="262626"/>
                <w:sz w:val="20"/>
                <w:szCs w:val="20"/>
              </w:rPr>
              <w:t xml:space="preserve">61.9%</w:t>
            </w:r>
          </w:p>
        </w:tc>
      </w:tr>
      <w:tr>
        <w:tc>
          <w:tcPr>
            <w:tcW w:type="dxa" w:w="2400"/>
            <w:shd w:fill="F2F6FA" w:val="clear"/>
            <w:tcMar>
              <w:top w:type="dxa" w:w="90"/>
              <w:left w:type="dxa" w:w="120"/>
              <w:bottom w:type="dxa" w:w="90"/>
              <w:right w:type="dxa" w:w="120"/>
            </w:tcMar>
            <w:vAlign w:val="center"/>
          </w:tcPr>
          <w:p>
            <w:pPr>
              <w:jc w:val="left"/>
            </w:pPr>
            <w:r>
              <w:rPr>
                <w:color w:val="262626"/>
                <w:sz w:val="20"/>
                <w:szCs w:val="20"/>
              </w:rPr>
              <w:t xml:space="preserve">Printer</w:t>
            </w:r>
          </w:p>
        </w:tc>
        <w:tc>
          <w:tcPr>
            <w:tcW w:type="dxa" w:w="2400"/>
            <w:shd w:fill="F2F6FA" w:val="clear"/>
            <w:tcMar>
              <w:top w:type="dxa" w:w="90"/>
              <w:left w:type="dxa" w:w="120"/>
              <w:bottom w:type="dxa" w:w="90"/>
              <w:right w:type="dxa" w:w="120"/>
            </w:tcMar>
            <w:vAlign w:val="center"/>
          </w:tcPr>
          <w:p>
            <w:pPr>
              <w:jc w:val="right"/>
            </w:pPr>
            <w:r>
              <w:rPr>
                <w:color w:val="262626"/>
                <w:sz w:val="20"/>
                <w:szCs w:val="20"/>
              </w:rPr>
              <w:t xml:space="preserve">4,07,500</w:t>
            </w:r>
          </w:p>
        </w:tc>
        <w:tc>
          <w:tcPr>
            <w:tcW w:type="dxa" w:w="2550"/>
            <w:shd w:fill="F2F6FA" w:val="clear"/>
            <w:tcMar>
              <w:top w:type="dxa" w:w="90"/>
              <w:left w:type="dxa" w:w="120"/>
              <w:bottom w:type="dxa" w:w="90"/>
              <w:right w:type="dxa" w:w="120"/>
            </w:tcMar>
            <w:vAlign w:val="center"/>
          </w:tcPr>
          <w:p>
            <w:pPr>
              <w:jc w:val="right"/>
            </w:pPr>
            <w:r>
              <w:rPr>
                <w:color w:val="262626"/>
                <w:sz w:val="20"/>
                <w:szCs w:val="20"/>
              </w:rPr>
              <w:t xml:space="preserve">15.0%</w:t>
            </w:r>
          </w:p>
        </w:tc>
      </w:tr>
      <w:tr>
        <w:tc>
          <w:tcPr>
            <w:tcW w:type="dxa" w:w="2400"/>
            <w:shd w:fill="FFFFFF" w:val="clear"/>
            <w:tcMar>
              <w:top w:type="dxa" w:w="90"/>
              <w:left w:type="dxa" w:w="120"/>
              <w:bottom w:type="dxa" w:w="90"/>
              <w:right w:type="dxa" w:w="120"/>
            </w:tcMar>
            <w:vAlign w:val="center"/>
          </w:tcPr>
          <w:p>
            <w:pPr>
              <w:jc w:val="left"/>
            </w:pPr>
            <w:r>
              <w:rPr>
                <w:color w:val="262626"/>
                <w:sz w:val="20"/>
                <w:szCs w:val="20"/>
              </w:rPr>
              <w:t xml:space="preserve">Monitor</w:t>
            </w:r>
          </w:p>
        </w:tc>
        <w:tc>
          <w:tcPr>
            <w:tcW w:type="dxa" w:w="2400"/>
            <w:shd w:fill="FFFFFF" w:val="clear"/>
            <w:tcMar>
              <w:top w:type="dxa" w:w="90"/>
              <w:left w:type="dxa" w:w="120"/>
              <w:bottom w:type="dxa" w:w="90"/>
              <w:right w:type="dxa" w:w="120"/>
            </w:tcMar>
            <w:vAlign w:val="center"/>
          </w:tcPr>
          <w:p>
            <w:pPr>
              <w:jc w:val="right"/>
            </w:pPr>
            <w:r>
              <w:rPr>
                <w:color w:val="262626"/>
                <w:sz w:val="20"/>
                <w:szCs w:val="20"/>
              </w:rPr>
              <w:t xml:space="preserve">3,38,200</w:t>
            </w:r>
          </w:p>
        </w:tc>
        <w:tc>
          <w:tcPr>
            <w:tcW w:type="dxa" w:w="2550"/>
            <w:shd w:fill="FFFFFF" w:val="clear"/>
            <w:tcMar>
              <w:top w:type="dxa" w:w="90"/>
              <w:left w:type="dxa" w:w="120"/>
              <w:bottom w:type="dxa" w:w="90"/>
              <w:right w:type="dxa" w:w="120"/>
            </w:tcMar>
            <w:vAlign w:val="center"/>
          </w:tcPr>
          <w:p>
            <w:pPr>
              <w:jc w:val="right"/>
            </w:pPr>
            <w:r>
              <w:rPr>
                <w:color w:val="262626"/>
                <w:sz w:val="20"/>
                <w:szCs w:val="20"/>
              </w:rPr>
              <w:t xml:space="preserve">12.4%</w:t>
            </w:r>
          </w:p>
        </w:tc>
      </w:tr>
      <w:tr>
        <w:tc>
          <w:tcPr>
            <w:tcW w:type="dxa" w:w="2400"/>
            <w:shd w:fill="F2F6FA" w:val="clear"/>
            <w:tcMar>
              <w:top w:type="dxa" w:w="90"/>
              <w:left w:type="dxa" w:w="120"/>
              <w:bottom w:type="dxa" w:w="90"/>
              <w:right w:type="dxa" w:w="120"/>
            </w:tcMar>
            <w:vAlign w:val="center"/>
          </w:tcPr>
          <w:p>
            <w:pPr>
              <w:jc w:val="left"/>
            </w:pPr>
            <w:r>
              <w:rPr>
                <w:color w:val="262626"/>
                <w:sz w:val="20"/>
                <w:szCs w:val="20"/>
              </w:rPr>
              <w:t xml:space="preserve">Keyboard</w:t>
            </w:r>
          </w:p>
        </w:tc>
        <w:tc>
          <w:tcPr>
            <w:tcW w:type="dxa" w:w="2400"/>
            <w:shd w:fill="F2F6FA" w:val="clear"/>
            <w:tcMar>
              <w:top w:type="dxa" w:w="90"/>
              <w:left w:type="dxa" w:w="120"/>
              <w:bottom w:type="dxa" w:w="90"/>
              <w:right w:type="dxa" w:w="120"/>
            </w:tcMar>
            <w:vAlign w:val="center"/>
          </w:tcPr>
          <w:p>
            <w:pPr>
              <w:jc w:val="right"/>
            </w:pPr>
            <w:r>
              <w:rPr>
                <w:color w:val="262626"/>
                <w:sz w:val="20"/>
                <w:szCs w:val="20"/>
              </w:rPr>
              <w:t xml:space="preserve">1,67,800</w:t>
            </w:r>
          </w:p>
        </w:tc>
        <w:tc>
          <w:tcPr>
            <w:tcW w:type="dxa" w:w="2550"/>
            <w:shd w:fill="F2F6FA" w:val="clear"/>
            <w:tcMar>
              <w:top w:type="dxa" w:w="90"/>
              <w:left w:type="dxa" w:w="120"/>
              <w:bottom w:type="dxa" w:w="90"/>
              <w:right w:type="dxa" w:w="120"/>
            </w:tcMar>
            <w:vAlign w:val="center"/>
          </w:tcPr>
          <w:p>
            <w:pPr>
              <w:jc w:val="right"/>
            </w:pPr>
            <w:r>
              <w:rPr>
                <w:color w:val="262626"/>
                <w:sz w:val="20"/>
                <w:szCs w:val="20"/>
              </w:rPr>
              <w:t xml:space="preserve">6.2%</w:t>
            </w:r>
          </w:p>
        </w:tc>
      </w:tr>
      <w:tr>
        <w:tc>
          <w:tcPr>
            <w:tcW w:type="dxa" w:w="2400"/>
            <w:shd w:fill="FFFFFF" w:val="clear"/>
            <w:tcMar>
              <w:top w:type="dxa" w:w="90"/>
              <w:left w:type="dxa" w:w="120"/>
              <w:bottom w:type="dxa" w:w="90"/>
              <w:right w:type="dxa" w:w="120"/>
            </w:tcMar>
            <w:vAlign w:val="center"/>
          </w:tcPr>
          <w:p>
            <w:pPr>
              <w:jc w:val="left"/>
            </w:pPr>
            <w:r>
              <w:rPr>
                <w:color w:val="262626"/>
                <w:sz w:val="20"/>
                <w:szCs w:val="20"/>
              </w:rPr>
              <w:t xml:space="preserve">Mouse</w:t>
            </w:r>
          </w:p>
        </w:tc>
        <w:tc>
          <w:tcPr>
            <w:tcW w:type="dxa" w:w="2400"/>
            <w:shd w:fill="FFFFFF" w:val="clear"/>
            <w:tcMar>
              <w:top w:type="dxa" w:w="90"/>
              <w:left w:type="dxa" w:w="120"/>
              <w:bottom w:type="dxa" w:w="90"/>
              <w:right w:type="dxa" w:w="120"/>
            </w:tcMar>
            <w:vAlign w:val="center"/>
          </w:tcPr>
          <w:p>
            <w:pPr>
              <w:jc w:val="right"/>
            </w:pPr>
            <w:r>
              <w:rPr>
                <w:color w:val="262626"/>
                <w:sz w:val="20"/>
                <w:szCs w:val="20"/>
              </w:rPr>
              <w:t xml:space="preserve">1,22,800</w:t>
            </w:r>
          </w:p>
        </w:tc>
        <w:tc>
          <w:tcPr>
            <w:tcW w:type="dxa" w:w="2550"/>
            <w:shd w:fill="FFFFFF" w:val="clear"/>
            <w:tcMar>
              <w:top w:type="dxa" w:w="90"/>
              <w:left w:type="dxa" w:w="120"/>
              <w:bottom w:type="dxa" w:w="90"/>
              <w:right w:type="dxa" w:w="120"/>
            </w:tcMar>
            <w:vAlign w:val="center"/>
          </w:tcPr>
          <w:p>
            <w:pPr>
              <w:jc w:val="right"/>
            </w:pPr>
            <w:r>
              <w:rPr>
                <w:color w:val="262626"/>
                <w:sz w:val="20"/>
                <w:szCs w:val="20"/>
              </w:rPr>
              <w:t xml:space="preserve">4.5%</w:t>
            </w:r>
          </w:p>
        </w:tc>
      </w:tr>
    </w:tbl>
    <w:p>
      <w:pPr>
        <w:spacing w:after="180" w:line="300"/>
      </w:pPr>
      <w:r>
        <w:rPr>
          <w:color w:val="262626"/>
        </w:rPr>
        <w:t xml:space="preserve">Insight: Laptop sales significantly outweigh all other categories combined would be close, but individually each accessory (Mouse, Keyboard) contributes under 7%. This highlights an opportunity to bundle accessories with laptop purchases to grow average order value.</w:t>
      </w:r>
    </w:p>
    <w:p>
      <w:pPr>
        <w:pStyle w:val="Heading1"/>
        <w:spacing w:after="160" w:before="320"/>
      </w:pPr>
      <w:r>
        <w:rPr>
          <w:b/>
          <w:bCs/>
          <w:color w:val="1F3864"/>
        </w:rPr>
        <w:t xml:space="preserve">Monthly Sales Trend</w:t>
      </w:r>
    </w:p>
    <w:p>
      <w:pPr>
        <w:spacing w:after="180" w:line="300"/>
      </w:pPr>
      <w:r>
        <w:rPr>
          <w:color w:val="262626"/>
        </w:rPr>
        <w:t xml:space="preserve">Monthly sales remained strong and stable from January to August, consistently in the ₹2,64,000–₹2,80,000 range. From September onward, sales dropped sharply to roughly ₹1,34,000–₹1,41,000 per month and stayed flat through December.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75"/>
        <w:gridCol w:w="5675"/>
      </w:tblGrid>
      <w:tr>
        <w:trPr>
          <w:tblHeader/>
        </w:trPr>
        <w:tc>
          <w:tcPr>
            <w:tcW w:type="dxa" w:w="3675"/>
            <w:shd w:fill="1F3864" w:val="clear"/>
            <w:tcMar>
              <w:top w:type="dxa" w:w="100"/>
              <w:left w:type="dxa" w:w="120"/>
              <w:bottom w:type="dxa" w:w="100"/>
              <w:right w:type="dxa" w:w="120"/>
            </w:tcMar>
            <w:vAlign w:val="center"/>
          </w:tcPr>
          <w:p>
            <w:pPr>
              <w:jc w:val="left"/>
            </w:pPr>
            <w:r>
              <w:rPr>
                <w:b/>
                <w:bCs/>
                <w:color w:val="FFFFFF"/>
                <w:sz w:val="20"/>
                <w:szCs w:val="20"/>
              </w:rPr>
              <w:t xml:space="preserve">Month</w:t>
            </w:r>
          </w:p>
        </w:tc>
        <w:tc>
          <w:tcPr>
            <w:tcW w:type="dxa" w:w="5675"/>
            <w:shd w:fill="1F3864" w:val="clear"/>
            <w:tcMar>
              <w:top w:type="dxa" w:w="100"/>
              <w:left w:type="dxa" w:w="120"/>
              <w:bottom w:type="dxa" w:w="100"/>
              <w:right w:type="dxa" w:w="120"/>
            </w:tcMar>
            <w:vAlign w:val="center"/>
          </w:tcPr>
          <w:p>
            <w:pPr>
              <w:jc w:val="right"/>
            </w:pPr>
            <w:r>
              <w:rPr>
                <w:b/>
                <w:bCs/>
                <w:color w:val="FFFFFF"/>
                <w:sz w:val="20"/>
                <w:szCs w:val="20"/>
              </w:rPr>
              <w:t xml:space="preserve">Sales (₹)</w:t>
            </w:r>
          </w:p>
        </w:tc>
      </w:tr>
      <w:tr>
        <w:tc>
          <w:tcPr>
            <w:tcW w:type="dxa" w:w="3675"/>
            <w:shd w:fill="FFFFFF" w:val="clear"/>
            <w:tcMar>
              <w:top w:type="dxa" w:w="90"/>
              <w:left w:type="dxa" w:w="120"/>
              <w:bottom w:type="dxa" w:w="90"/>
              <w:right w:type="dxa" w:w="120"/>
            </w:tcMar>
            <w:vAlign w:val="center"/>
          </w:tcPr>
          <w:p>
            <w:pPr>
              <w:jc w:val="left"/>
            </w:pPr>
            <w:r>
              <w:rPr>
                <w:color w:val="262626"/>
                <w:sz w:val="20"/>
                <w:szCs w:val="20"/>
              </w:rPr>
              <w:t xml:space="preserve">Jan</w:t>
            </w:r>
          </w:p>
        </w:tc>
        <w:tc>
          <w:tcPr>
            <w:tcW w:type="dxa" w:w="5675"/>
            <w:shd w:fill="FFFFFF" w:val="clear"/>
            <w:tcMar>
              <w:top w:type="dxa" w:w="90"/>
              <w:left w:type="dxa" w:w="120"/>
              <w:bottom w:type="dxa" w:w="90"/>
              <w:right w:type="dxa" w:w="120"/>
            </w:tcMar>
            <w:vAlign w:val="center"/>
          </w:tcPr>
          <w:p>
            <w:pPr>
              <w:jc w:val="right"/>
            </w:pPr>
            <w:r>
              <w:rPr>
                <w:color w:val="262626"/>
                <w:sz w:val="20"/>
                <w:szCs w:val="20"/>
              </w:rPr>
              <w:t xml:space="preserve">2,68,700</w:t>
            </w:r>
          </w:p>
        </w:tc>
      </w:tr>
      <w:tr>
        <w:tc>
          <w:tcPr>
            <w:tcW w:type="dxa" w:w="3675"/>
            <w:shd w:fill="F2F6FA" w:val="clear"/>
            <w:tcMar>
              <w:top w:type="dxa" w:w="90"/>
              <w:left w:type="dxa" w:w="120"/>
              <w:bottom w:type="dxa" w:w="90"/>
              <w:right w:type="dxa" w:w="120"/>
            </w:tcMar>
            <w:vAlign w:val="center"/>
          </w:tcPr>
          <w:p>
            <w:pPr>
              <w:jc w:val="left"/>
            </w:pPr>
            <w:r>
              <w:rPr>
                <w:color w:val="262626"/>
                <w:sz w:val="20"/>
                <w:szCs w:val="20"/>
              </w:rPr>
              <w:t xml:space="preserve">Feb</w:t>
            </w:r>
          </w:p>
        </w:tc>
        <w:tc>
          <w:tcPr>
            <w:tcW w:type="dxa" w:w="5675"/>
            <w:shd w:fill="F2F6FA" w:val="clear"/>
            <w:tcMar>
              <w:top w:type="dxa" w:w="90"/>
              <w:left w:type="dxa" w:w="120"/>
              <w:bottom w:type="dxa" w:w="90"/>
              <w:right w:type="dxa" w:w="120"/>
            </w:tcMar>
            <w:vAlign w:val="center"/>
          </w:tcPr>
          <w:p>
            <w:pPr>
              <w:jc w:val="right"/>
            </w:pPr>
            <w:r>
              <w:rPr>
                <w:color w:val="262626"/>
                <w:sz w:val="20"/>
                <w:szCs w:val="20"/>
              </w:rPr>
              <w:t xml:space="preserve">2,65,700</w:t>
            </w:r>
          </w:p>
        </w:tc>
      </w:tr>
      <w:tr>
        <w:tc>
          <w:tcPr>
            <w:tcW w:type="dxa" w:w="3675"/>
            <w:shd w:fill="FFFFFF" w:val="clear"/>
            <w:tcMar>
              <w:top w:type="dxa" w:w="90"/>
              <w:left w:type="dxa" w:w="120"/>
              <w:bottom w:type="dxa" w:w="90"/>
              <w:right w:type="dxa" w:w="120"/>
            </w:tcMar>
            <w:vAlign w:val="center"/>
          </w:tcPr>
          <w:p>
            <w:pPr>
              <w:jc w:val="left"/>
            </w:pPr>
            <w:r>
              <w:rPr>
                <w:color w:val="262626"/>
                <w:sz w:val="20"/>
                <w:szCs w:val="20"/>
              </w:rPr>
              <w:t xml:space="preserve">Mar</w:t>
            </w:r>
          </w:p>
        </w:tc>
        <w:tc>
          <w:tcPr>
            <w:tcW w:type="dxa" w:w="5675"/>
            <w:shd w:fill="FFFFFF" w:val="clear"/>
            <w:tcMar>
              <w:top w:type="dxa" w:w="90"/>
              <w:left w:type="dxa" w:w="120"/>
              <w:bottom w:type="dxa" w:w="90"/>
              <w:right w:type="dxa" w:w="120"/>
            </w:tcMar>
            <w:vAlign w:val="center"/>
          </w:tcPr>
          <w:p>
            <w:pPr>
              <w:jc w:val="right"/>
            </w:pPr>
            <w:r>
              <w:rPr>
                <w:color w:val="262626"/>
                <w:sz w:val="20"/>
                <w:szCs w:val="20"/>
              </w:rPr>
              <w:t xml:space="preserve">2,72,300</w:t>
            </w:r>
          </w:p>
        </w:tc>
      </w:tr>
      <w:tr>
        <w:tc>
          <w:tcPr>
            <w:tcW w:type="dxa" w:w="3675"/>
            <w:shd w:fill="F2F6FA" w:val="clear"/>
            <w:tcMar>
              <w:top w:type="dxa" w:w="90"/>
              <w:left w:type="dxa" w:w="120"/>
              <w:bottom w:type="dxa" w:w="90"/>
              <w:right w:type="dxa" w:w="120"/>
            </w:tcMar>
            <w:vAlign w:val="center"/>
          </w:tcPr>
          <w:p>
            <w:pPr>
              <w:jc w:val="left"/>
            </w:pPr>
            <w:r>
              <w:rPr>
                <w:color w:val="262626"/>
                <w:sz w:val="20"/>
                <w:szCs w:val="20"/>
              </w:rPr>
              <w:t xml:space="preserve">Apr</w:t>
            </w:r>
          </w:p>
        </w:tc>
        <w:tc>
          <w:tcPr>
            <w:tcW w:type="dxa" w:w="5675"/>
            <w:shd w:fill="F2F6FA" w:val="clear"/>
            <w:tcMar>
              <w:top w:type="dxa" w:w="90"/>
              <w:left w:type="dxa" w:w="120"/>
              <w:bottom w:type="dxa" w:w="90"/>
              <w:right w:type="dxa" w:w="120"/>
            </w:tcMar>
            <w:vAlign w:val="center"/>
          </w:tcPr>
          <w:p>
            <w:pPr>
              <w:jc w:val="right"/>
            </w:pPr>
            <w:r>
              <w:rPr>
                <w:color w:val="262626"/>
                <w:sz w:val="20"/>
                <w:szCs w:val="20"/>
              </w:rPr>
              <w:t xml:space="preserve">2,79,600</w:t>
            </w:r>
          </w:p>
        </w:tc>
      </w:tr>
      <w:tr>
        <w:tc>
          <w:tcPr>
            <w:tcW w:type="dxa" w:w="3675"/>
            <w:shd w:fill="FFFFFF" w:val="clear"/>
            <w:tcMar>
              <w:top w:type="dxa" w:w="90"/>
              <w:left w:type="dxa" w:w="120"/>
              <w:bottom w:type="dxa" w:w="90"/>
              <w:right w:type="dxa" w:w="120"/>
            </w:tcMar>
            <w:vAlign w:val="center"/>
          </w:tcPr>
          <w:p>
            <w:pPr>
              <w:jc w:val="left"/>
            </w:pPr>
            <w:r>
              <w:rPr>
                <w:color w:val="262626"/>
                <w:sz w:val="20"/>
                <w:szCs w:val="20"/>
              </w:rPr>
              <w:t xml:space="preserve">May</w:t>
            </w:r>
          </w:p>
        </w:tc>
        <w:tc>
          <w:tcPr>
            <w:tcW w:type="dxa" w:w="5675"/>
            <w:shd w:fill="FFFFFF" w:val="clear"/>
            <w:tcMar>
              <w:top w:type="dxa" w:w="90"/>
              <w:left w:type="dxa" w:w="120"/>
              <w:bottom w:type="dxa" w:w="90"/>
              <w:right w:type="dxa" w:w="120"/>
            </w:tcMar>
            <w:vAlign w:val="center"/>
          </w:tcPr>
          <w:p>
            <w:pPr>
              <w:jc w:val="right"/>
            </w:pPr>
            <w:r>
              <w:rPr>
                <w:color w:val="262626"/>
                <w:sz w:val="20"/>
                <w:szCs w:val="20"/>
              </w:rPr>
              <w:t xml:space="preserve">2,72,600</w:t>
            </w:r>
          </w:p>
        </w:tc>
      </w:tr>
      <w:tr>
        <w:tc>
          <w:tcPr>
            <w:tcW w:type="dxa" w:w="3675"/>
            <w:shd w:fill="F2F6FA" w:val="clear"/>
            <w:tcMar>
              <w:top w:type="dxa" w:w="90"/>
              <w:left w:type="dxa" w:w="120"/>
              <w:bottom w:type="dxa" w:w="90"/>
              <w:right w:type="dxa" w:w="120"/>
            </w:tcMar>
            <w:vAlign w:val="center"/>
          </w:tcPr>
          <w:p>
            <w:pPr>
              <w:jc w:val="left"/>
            </w:pPr>
            <w:r>
              <w:rPr>
                <w:color w:val="262626"/>
                <w:sz w:val="20"/>
                <w:szCs w:val="20"/>
              </w:rPr>
              <w:t xml:space="preserve">Jun</w:t>
            </w:r>
          </w:p>
        </w:tc>
        <w:tc>
          <w:tcPr>
            <w:tcW w:type="dxa" w:w="5675"/>
            <w:shd w:fill="F2F6FA" w:val="clear"/>
            <w:tcMar>
              <w:top w:type="dxa" w:w="90"/>
              <w:left w:type="dxa" w:w="120"/>
              <w:bottom w:type="dxa" w:w="90"/>
              <w:right w:type="dxa" w:w="120"/>
            </w:tcMar>
            <w:vAlign w:val="center"/>
          </w:tcPr>
          <w:p>
            <w:pPr>
              <w:jc w:val="right"/>
            </w:pPr>
            <w:r>
              <w:rPr>
                <w:color w:val="262626"/>
                <w:sz w:val="20"/>
                <w:szCs w:val="20"/>
              </w:rPr>
              <w:t xml:space="preserve">2,64,200</w:t>
            </w:r>
          </w:p>
        </w:tc>
      </w:tr>
      <w:tr>
        <w:tc>
          <w:tcPr>
            <w:tcW w:type="dxa" w:w="3675"/>
            <w:shd w:fill="FFFFFF" w:val="clear"/>
            <w:tcMar>
              <w:top w:type="dxa" w:w="90"/>
              <w:left w:type="dxa" w:w="120"/>
              <w:bottom w:type="dxa" w:w="90"/>
              <w:right w:type="dxa" w:w="120"/>
            </w:tcMar>
            <w:vAlign w:val="center"/>
          </w:tcPr>
          <w:p>
            <w:pPr>
              <w:jc w:val="left"/>
            </w:pPr>
            <w:r>
              <w:rPr>
                <w:color w:val="262626"/>
                <w:sz w:val="20"/>
                <w:szCs w:val="20"/>
              </w:rPr>
              <w:t xml:space="preserve">Jul</w:t>
            </w:r>
          </w:p>
        </w:tc>
        <w:tc>
          <w:tcPr>
            <w:tcW w:type="dxa" w:w="5675"/>
            <w:shd w:fill="FFFFFF" w:val="clear"/>
            <w:tcMar>
              <w:top w:type="dxa" w:w="90"/>
              <w:left w:type="dxa" w:w="120"/>
              <w:bottom w:type="dxa" w:w="90"/>
              <w:right w:type="dxa" w:w="120"/>
            </w:tcMar>
            <w:vAlign w:val="center"/>
          </w:tcPr>
          <w:p>
            <w:pPr>
              <w:jc w:val="right"/>
            </w:pPr>
            <w:r>
              <w:rPr>
                <w:color w:val="262626"/>
                <w:sz w:val="20"/>
                <w:szCs w:val="20"/>
              </w:rPr>
              <w:t xml:space="preserve">2,75,200</w:t>
            </w:r>
          </w:p>
        </w:tc>
      </w:tr>
      <w:tr>
        <w:tc>
          <w:tcPr>
            <w:tcW w:type="dxa" w:w="3675"/>
            <w:shd w:fill="F2F6FA" w:val="clear"/>
            <w:tcMar>
              <w:top w:type="dxa" w:w="90"/>
              <w:left w:type="dxa" w:w="120"/>
              <w:bottom w:type="dxa" w:w="90"/>
              <w:right w:type="dxa" w:w="120"/>
            </w:tcMar>
            <w:vAlign w:val="center"/>
          </w:tcPr>
          <w:p>
            <w:pPr>
              <w:jc w:val="left"/>
            </w:pPr>
            <w:r>
              <w:rPr>
                <w:color w:val="262626"/>
                <w:sz w:val="20"/>
                <w:szCs w:val="20"/>
              </w:rPr>
              <w:t xml:space="preserve">Aug</w:t>
            </w:r>
          </w:p>
        </w:tc>
        <w:tc>
          <w:tcPr>
            <w:tcW w:type="dxa" w:w="5675"/>
            <w:shd w:fill="F2F6FA" w:val="clear"/>
            <w:tcMar>
              <w:top w:type="dxa" w:w="90"/>
              <w:left w:type="dxa" w:w="120"/>
              <w:bottom w:type="dxa" w:w="90"/>
              <w:right w:type="dxa" w:w="120"/>
            </w:tcMar>
            <w:vAlign w:val="center"/>
          </w:tcPr>
          <w:p>
            <w:pPr>
              <w:jc w:val="right"/>
            </w:pPr>
            <w:r>
              <w:rPr>
                <w:color w:val="262626"/>
                <w:sz w:val="20"/>
                <w:szCs w:val="20"/>
              </w:rPr>
              <w:t xml:space="preserve">2,75,200</w:t>
            </w:r>
          </w:p>
        </w:tc>
      </w:tr>
      <w:tr>
        <w:tc>
          <w:tcPr>
            <w:tcW w:type="dxa" w:w="3675"/>
            <w:shd w:fill="FFFFFF" w:val="clear"/>
            <w:tcMar>
              <w:top w:type="dxa" w:w="90"/>
              <w:left w:type="dxa" w:w="120"/>
              <w:bottom w:type="dxa" w:w="90"/>
              <w:right w:type="dxa" w:w="120"/>
            </w:tcMar>
            <w:vAlign w:val="center"/>
          </w:tcPr>
          <w:p>
            <w:pPr>
              <w:jc w:val="left"/>
            </w:pPr>
            <w:r>
              <w:rPr>
                <w:color w:val="262626"/>
                <w:sz w:val="20"/>
                <w:szCs w:val="20"/>
              </w:rPr>
              <w:t xml:space="preserve">Sep</w:t>
            </w:r>
          </w:p>
        </w:tc>
        <w:tc>
          <w:tcPr>
            <w:tcW w:type="dxa" w:w="5675"/>
            <w:shd w:fill="FFFFFF" w:val="clear"/>
            <w:tcMar>
              <w:top w:type="dxa" w:w="90"/>
              <w:left w:type="dxa" w:w="120"/>
              <w:bottom w:type="dxa" w:w="90"/>
              <w:right w:type="dxa" w:w="120"/>
            </w:tcMar>
            <w:vAlign w:val="center"/>
          </w:tcPr>
          <w:p>
            <w:pPr>
              <w:jc w:val="right"/>
            </w:pPr>
            <w:r>
              <w:rPr>
                <w:color w:val="262626"/>
                <w:sz w:val="20"/>
                <w:szCs w:val="20"/>
              </w:rPr>
              <w:t xml:space="preserve">1,34,600</w:t>
            </w:r>
          </w:p>
        </w:tc>
      </w:tr>
      <w:tr>
        <w:tc>
          <w:tcPr>
            <w:tcW w:type="dxa" w:w="3675"/>
            <w:shd w:fill="F2F6FA" w:val="clear"/>
            <w:tcMar>
              <w:top w:type="dxa" w:w="90"/>
              <w:left w:type="dxa" w:w="120"/>
              <w:bottom w:type="dxa" w:w="90"/>
              <w:right w:type="dxa" w:w="120"/>
            </w:tcMar>
            <w:vAlign w:val="center"/>
          </w:tcPr>
          <w:p>
            <w:pPr>
              <w:jc w:val="left"/>
            </w:pPr>
            <w:r>
              <w:rPr>
                <w:color w:val="262626"/>
                <w:sz w:val="20"/>
                <w:szCs w:val="20"/>
              </w:rPr>
              <w:t xml:space="preserve">Oct</w:t>
            </w:r>
          </w:p>
        </w:tc>
        <w:tc>
          <w:tcPr>
            <w:tcW w:type="dxa" w:w="5675"/>
            <w:shd w:fill="F2F6FA" w:val="clear"/>
            <w:tcMar>
              <w:top w:type="dxa" w:w="90"/>
              <w:left w:type="dxa" w:w="120"/>
              <w:bottom w:type="dxa" w:w="90"/>
              <w:right w:type="dxa" w:w="120"/>
            </w:tcMar>
            <w:vAlign w:val="center"/>
          </w:tcPr>
          <w:p>
            <w:pPr>
              <w:jc w:val="right"/>
            </w:pPr>
            <w:r>
              <w:rPr>
                <w:color w:val="262626"/>
                <w:sz w:val="20"/>
                <w:szCs w:val="20"/>
              </w:rPr>
              <w:t xml:space="preserve">1,34,000</w:t>
            </w:r>
          </w:p>
        </w:tc>
      </w:tr>
      <w:tr>
        <w:tc>
          <w:tcPr>
            <w:tcW w:type="dxa" w:w="3675"/>
            <w:shd w:fill="FFFFFF" w:val="clear"/>
            <w:tcMar>
              <w:top w:type="dxa" w:w="90"/>
              <w:left w:type="dxa" w:w="120"/>
              <w:bottom w:type="dxa" w:w="90"/>
              <w:right w:type="dxa" w:w="120"/>
            </w:tcMar>
            <w:vAlign w:val="center"/>
          </w:tcPr>
          <w:p>
            <w:pPr>
              <w:jc w:val="left"/>
            </w:pPr>
            <w:r>
              <w:rPr>
                <w:color w:val="262626"/>
                <w:sz w:val="20"/>
                <w:szCs w:val="20"/>
              </w:rPr>
              <w:t xml:space="preserve">Nov</w:t>
            </w:r>
          </w:p>
        </w:tc>
        <w:tc>
          <w:tcPr>
            <w:tcW w:type="dxa" w:w="5675"/>
            <w:shd w:fill="FFFFFF" w:val="clear"/>
            <w:tcMar>
              <w:top w:type="dxa" w:w="90"/>
              <w:left w:type="dxa" w:w="120"/>
              <w:bottom w:type="dxa" w:w="90"/>
              <w:right w:type="dxa" w:w="120"/>
            </w:tcMar>
            <w:vAlign w:val="center"/>
          </w:tcPr>
          <w:p>
            <w:pPr>
              <w:jc w:val="right"/>
            </w:pPr>
            <w:r>
              <w:rPr>
                <w:color w:val="262626"/>
                <w:sz w:val="20"/>
                <w:szCs w:val="20"/>
              </w:rPr>
              <w:t xml:space="preserve">1,39,900</w:t>
            </w:r>
          </w:p>
        </w:tc>
      </w:tr>
      <w:tr>
        <w:tc>
          <w:tcPr>
            <w:tcW w:type="dxa" w:w="3675"/>
            <w:shd w:fill="F2F6FA" w:val="clear"/>
            <w:tcMar>
              <w:top w:type="dxa" w:w="90"/>
              <w:left w:type="dxa" w:w="120"/>
              <w:bottom w:type="dxa" w:w="90"/>
              <w:right w:type="dxa" w:w="120"/>
            </w:tcMar>
            <w:vAlign w:val="center"/>
          </w:tcPr>
          <w:p>
            <w:pPr>
              <w:jc w:val="left"/>
            </w:pPr>
            <w:r>
              <w:rPr>
                <w:color w:val="262626"/>
                <w:sz w:val="20"/>
                <w:szCs w:val="20"/>
              </w:rPr>
              <w:t xml:space="preserve">Dec</w:t>
            </w:r>
          </w:p>
        </w:tc>
        <w:tc>
          <w:tcPr>
            <w:tcW w:type="dxa" w:w="5675"/>
            <w:shd w:fill="F2F6FA" w:val="clear"/>
            <w:tcMar>
              <w:top w:type="dxa" w:w="90"/>
              <w:left w:type="dxa" w:w="120"/>
              <w:bottom w:type="dxa" w:w="90"/>
              <w:right w:type="dxa" w:w="120"/>
            </w:tcMar>
            <w:vAlign w:val="center"/>
          </w:tcPr>
          <w:p>
            <w:pPr>
              <w:jc w:val="right"/>
            </w:pPr>
            <w:r>
              <w:rPr>
                <w:color w:val="262626"/>
                <w:sz w:val="20"/>
                <w:szCs w:val="20"/>
              </w:rPr>
              <w:t xml:space="preserve">1,41,000</w:t>
            </w:r>
          </w:p>
        </w:tc>
      </w:tr>
    </w:tbl>
    <w:p>
      <w:pPr>
        <w:spacing w:after="180" w:line="300"/>
      </w:pPr>
      <w:r>
        <w:rPr>
          <w:color w:val="262626"/>
        </w:rPr>
        <w:t xml:space="preserve">Insight: The Sep–Dec decline represents roughly a 49% drop from the Jan–Aug average, a pattern significant enough to investigate — possible causes include seasonal demand shifts, inventory or supply constraints, or reduced sales activity that should be validated against operational records.</w:t>
      </w:r>
    </w:p>
    <w:p>
      <w:pPr>
        <w:pStyle w:val="Heading1"/>
        <w:spacing w:after="160" w:before="320"/>
      </w:pPr>
      <w:r>
        <w:rPr>
          <w:b/>
          <w:bCs/>
          <w:color w:val="1F3864"/>
        </w:rPr>
        <w:t xml:space="preserve">Year-over-Year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75"/>
        <w:gridCol w:w="3175"/>
        <w:gridCol w:w="3000"/>
      </w:tblGrid>
      <w:tr>
        <w:trPr>
          <w:tblHeader/>
        </w:trPr>
        <w:tc>
          <w:tcPr>
            <w:tcW w:type="dxa" w:w="3175"/>
            <w:shd w:fill="1F3864" w:val="clear"/>
            <w:tcMar>
              <w:top w:type="dxa" w:w="100"/>
              <w:left w:type="dxa" w:w="120"/>
              <w:bottom w:type="dxa" w:w="100"/>
              <w:right w:type="dxa" w:w="120"/>
            </w:tcMar>
            <w:vAlign w:val="center"/>
          </w:tcPr>
          <w:p>
            <w:pPr>
              <w:jc w:val="left"/>
            </w:pPr>
            <w:r>
              <w:rPr>
                <w:b/>
                <w:bCs/>
                <w:color w:val="FFFFFF"/>
                <w:sz w:val="20"/>
                <w:szCs w:val="20"/>
              </w:rPr>
              <w:t xml:space="preserve">Year</w:t>
            </w:r>
          </w:p>
        </w:tc>
        <w:tc>
          <w:tcPr>
            <w:tcW w:type="dxa" w:w="3175"/>
            <w:shd w:fill="1F3864" w:val="clear"/>
            <w:tcMar>
              <w:top w:type="dxa" w:w="100"/>
              <w:left w:type="dxa" w:w="120"/>
              <w:bottom w:type="dxa" w:w="100"/>
              <w:right w:type="dxa" w:w="120"/>
            </w:tcMar>
            <w:vAlign w:val="center"/>
          </w:tcPr>
          <w:p>
            <w:pPr>
              <w:jc w:val="right"/>
            </w:pPr>
            <w:r>
              <w:rPr>
                <w:b/>
                <w:bCs/>
                <w:color w:val="FFFFFF"/>
                <w:sz w:val="20"/>
                <w:szCs w:val="20"/>
              </w:rPr>
              <w:t xml:space="preserve">Sales (₹)</w:t>
            </w:r>
          </w:p>
        </w:tc>
        <w:tc>
          <w:tcPr>
            <w:tcW w:type="dxa" w:w="3000"/>
            <w:shd w:fill="1F3864" w:val="clear"/>
            <w:tcMar>
              <w:top w:type="dxa" w:w="100"/>
              <w:left w:type="dxa" w:w="120"/>
              <w:bottom w:type="dxa" w:w="100"/>
              <w:right w:type="dxa" w:w="120"/>
            </w:tcMar>
            <w:vAlign w:val="center"/>
          </w:tcPr>
          <w:p>
            <w:pPr>
              <w:jc w:val="right"/>
            </w:pPr>
            <w:r>
              <w:rPr>
                <w:b/>
                <w:bCs/>
                <w:color w:val="FFFFFF"/>
                <w:sz w:val="20"/>
                <w:szCs w:val="20"/>
              </w:rPr>
              <w:t xml:space="preserve">Share (%)</w:t>
            </w:r>
          </w:p>
        </w:tc>
      </w:tr>
      <w:tr>
        <w:tc>
          <w:tcPr>
            <w:tcW w:type="dxa" w:w="3175"/>
            <w:shd w:fill="FFFFFF" w:val="clear"/>
            <w:tcMar>
              <w:top w:type="dxa" w:w="90"/>
              <w:left w:type="dxa" w:w="120"/>
              <w:bottom w:type="dxa" w:w="90"/>
              <w:right w:type="dxa" w:w="120"/>
            </w:tcMar>
            <w:vAlign w:val="center"/>
          </w:tcPr>
          <w:p>
            <w:pPr>
              <w:jc w:val="left"/>
            </w:pPr>
            <w:r>
              <w:rPr>
                <w:color w:val="262626"/>
                <w:sz w:val="20"/>
                <w:szCs w:val="20"/>
              </w:rPr>
              <w:t xml:space="preserve">2023</w:t>
            </w:r>
          </w:p>
        </w:tc>
        <w:tc>
          <w:tcPr>
            <w:tcW w:type="dxa" w:w="3175"/>
            <w:shd w:fill="FFFFFF" w:val="clear"/>
            <w:tcMar>
              <w:top w:type="dxa" w:w="90"/>
              <w:left w:type="dxa" w:w="120"/>
              <w:bottom w:type="dxa" w:w="90"/>
              <w:right w:type="dxa" w:w="120"/>
            </w:tcMar>
            <w:vAlign w:val="center"/>
          </w:tcPr>
          <w:p>
            <w:pPr>
              <w:jc w:val="right"/>
            </w:pPr>
            <w:r>
              <w:rPr>
                <w:color w:val="262626"/>
                <w:sz w:val="20"/>
                <w:szCs w:val="20"/>
              </w:rPr>
              <w:t xml:space="preserve">16,25,800</w:t>
            </w:r>
          </w:p>
        </w:tc>
        <w:tc>
          <w:tcPr>
            <w:tcW w:type="dxa" w:w="3000"/>
            <w:shd w:fill="FFFFFF" w:val="clear"/>
            <w:tcMar>
              <w:top w:type="dxa" w:w="90"/>
              <w:left w:type="dxa" w:w="120"/>
              <w:bottom w:type="dxa" w:w="90"/>
              <w:right w:type="dxa" w:w="120"/>
            </w:tcMar>
            <w:vAlign w:val="center"/>
          </w:tcPr>
          <w:p>
            <w:pPr>
              <w:jc w:val="right"/>
            </w:pPr>
            <w:r>
              <w:rPr>
                <w:color w:val="262626"/>
                <w:sz w:val="20"/>
                <w:szCs w:val="20"/>
              </w:rPr>
              <w:t xml:space="preserve">59.7%</w:t>
            </w:r>
          </w:p>
        </w:tc>
      </w:tr>
      <w:tr>
        <w:tc>
          <w:tcPr>
            <w:tcW w:type="dxa" w:w="3175"/>
            <w:shd w:fill="F2F6FA" w:val="clear"/>
            <w:tcMar>
              <w:top w:type="dxa" w:w="90"/>
              <w:left w:type="dxa" w:w="120"/>
              <w:bottom w:type="dxa" w:w="90"/>
              <w:right w:type="dxa" w:w="120"/>
            </w:tcMar>
            <w:vAlign w:val="center"/>
          </w:tcPr>
          <w:p>
            <w:pPr>
              <w:jc w:val="left"/>
            </w:pPr>
            <w:r>
              <w:rPr>
                <w:color w:val="262626"/>
                <w:sz w:val="20"/>
                <w:szCs w:val="20"/>
              </w:rPr>
              <w:t xml:space="preserve">2024</w:t>
            </w:r>
          </w:p>
        </w:tc>
        <w:tc>
          <w:tcPr>
            <w:tcW w:type="dxa" w:w="3175"/>
            <w:shd w:fill="F2F6FA" w:val="clear"/>
            <w:tcMar>
              <w:top w:type="dxa" w:w="90"/>
              <w:left w:type="dxa" w:w="120"/>
              <w:bottom w:type="dxa" w:w="90"/>
              <w:right w:type="dxa" w:w="120"/>
            </w:tcMar>
            <w:vAlign w:val="center"/>
          </w:tcPr>
          <w:p>
            <w:pPr>
              <w:jc w:val="right"/>
            </w:pPr>
            <w:r>
              <w:rPr>
                <w:color w:val="262626"/>
                <w:sz w:val="20"/>
                <w:szCs w:val="20"/>
              </w:rPr>
              <w:t xml:space="preserve">10,97,200</w:t>
            </w:r>
          </w:p>
        </w:tc>
        <w:tc>
          <w:tcPr>
            <w:tcW w:type="dxa" w:w="3000"/>
            <w:shd w:fill="F2F6FA" w:val="clear"/>
            <w:tcMar>
              <w:top w:type="dxa" w:w="90"/>
              <w:left w:type="dxa" w:w="120"/>
              <w:bottom w:type="dxa" w:w="90"/>
              <w:right w:type="dxa" w:w="120"/>
            </w:tcMar>
            <w:vAlign w:val="center"/>
          </w:tcPr>
          <w:p>
            <w:pPr>
              <w:jc w:val="right"/>
            </w:pPr>
            <w:r>
              <w:rPr>
                <w:color w:val="262626"/>
                <w:sz w:val="20"/>
                <w:szCs w:val="20"/>
              </w:rPr>
              <w:t xml:space="preserve">40.3%</w:t>
            </w:r>
          </w:p>
        </w:tc>
      </w:tr>
    </w:tbl>
    <w:p>
      <w:pPr>
        <w:spacing w:after="180" w:line="300"/>
      </w:pPr>
      <w:r>
        <w:rPr>
          <w:color w:val="262626"/>
        </w:rPr>
        <w:t xml:space="preserve">2023 outperformed 2024 by roughly ₹5,28,600 (a ~32% decline year-over-year), consistent with the sharp drop observed in the last four months of the data period.</w:t>
      </w:r>
    </w:p>
    <w:p>
      <w:pPr>
        <w:pStyle w:val="Heading1"/>
        <w:spacing w:after="160" w:before="320"/>
      </w:pPr>
      <w:r>
        <w:rPr>
          <w:b/>
          <w:bCs/>
          <w:color w:val="1F3864"/>
        </w:rPr>
        <w:t xml:space="preserve">Top Performing Salespersons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100"/>
              <w:left w:type="dxa" w:w="120"/>
              <w:bottom w:type="dxa" w:w="100"/>
              <w:right w:type="dxa" w:w="120"/>
            </w:tcMar>
            <w:vAlign w:val="center"/>
          </w:tcPr>
          <w:p>
            <w:pPr>
              <w:jc w:val="left"/>
            </w:pPr>
            <w:r>
              <w:rPr>
                <w:b/>
                <w:bCs/>
                <w:color w:val="FFFFFF"/>
                <w:sz w:val="20"/>
                <w:szCs w:val="20"/>
              </w:rPr>
              <w:t xml:space="preserve">Salesperson</w:t>
            </w:r>
          </w:p>
        </w:tc>
        <w:tc>
          <w:tcPr>
            <w:tcW w:type="dxa" w:w="4675"/>
            <w:shd w:fill="1F3864" w:val="clear"/>
            <w:tcMar>
              <w:top w:type="dxa" w:w="100"/>
              <w:left w:type="dxa" w:w="120"/>
              <w:bottom w:type="dxa" w:w="100"/>
              <w:right w:type="dxa" w:w="120"/>
            </w:tcMar>
            <w:vAlign w:val="center"/>
          </w:tcPr>
          <w:p>
            <w:pPr>
              <w:jc w:val="right"/>
            </w:pPr>
            <w:r>
              <w:rPr>
                <w:b/>
                <w:bCs/>
                <w:color w:val="FFFFFF"/>
                <w:sz w:val="20"/>
                <w:szCs w:val="20"/>
              </w:rPr>
              <w:t xml:space="preserve">Total Sales (₹)</w:t>
            </w:r>
          </w:p>
        </w:tc>
      </w:tr>
      <w:tr>
        <w:tc>
          <w:tcPr>
            <w:tcW w:type="dxa" w:w="4675"/>
            <w:shd w:fill="FFFFFF" w:val="clear"/>
            <w:tcMar>
              <w:top w:type="dxa" w:w="90"/>
              <w:left w:type="dxa" w:w="120"/>
              <w:bottom w:type="dxa" w:w="90"/>
              <w:right w:type="dxa" w:w="120"/>
            </w:tcMar>
            <w:vAlign w:val="center"/>
          </w:tcPr>
          <w:p>
            <w:pPr>
              <w:jc w:val="left"/>
            </w:pPr>
            <w:r>
              <w:rPr>
                <w:color w:val="262626"/>
                <w:sz w:val="20"/>
                <w:szCs w:val="20"/>
              </w:rPr>
              <w:t xml:space="preserve">Rajesh Sharma</w:t>
            </w:r>
          </w:p>
        </w:tc>
        <w:tc>
          <w:tcPr>
            <w:tcW w:type="dxa" w:w="4675"/>
            <w:shd w:fill="FFFFFF" w:val="clear"/>
            <w:tcMar>
              <w:top w:type="dxa" w:w="90"/>
              <w:left w:type="dxa" w:w="120"/>
              <w:bottom w:type="dxa" w:w="90"/>
              <w:right w:type="dxa" w:w="120"/>
            </w:tcMar>
            <w:vAlign w:val="center"/>
          </w:tcPr>
          <w:p>
            <w:pPr>
              <w:jc w:val="right"/>
            </w:pPr>
            <w:r>
              <w:rPr>
                <w:color w:val="262626"/>
                <w:sz w:val="20"/>
                <w:szCs w:val="20"/>
              </w:rPr>
              <w:t xml:space="preserve">6,02,800</w:t>
            </w:r>
          </w:p>
        </w:tc>
      </w:tr>
      <w:tr>
        <w:tc>
          <w:tcPr>
            <w:tcW w:type="dxa" w:w="4675"/>
            <w:shd w:fill="F2F6FA" w:val="clear"/>
            <w:tcMar>
              <w:top w:type="dxa" w:w="90"/>
              <w:left w:type="dxa" w:w="120"/>
              <w:bottom w:type="dxa" w:w="90"/>
              <w:right w:type="dxa" w:w="120"/>
            </w:tcMar>
            <w:vAlign w:val="center"/>
          </w:tcPr>
          <w:p>
            <w:pPr>
              <w:jc w:val="left"/>
            </w:pPr>
            <w:r>
              <w:rPr>
                <w:color w:val="262626"/>
                <w:sz w:val="20"/>
                <w:szCs w:val="20"/>
              </w:rPr>
              <w:t xml:space="preserve">Karan Singh</w:t>
            </w:r>
          </w:p>
        </w:tc>
        <w:tc>
          <w:tcPr>
            <w:tcW w:type="dxa" w:w="4675"/>
            <w:shd w:fill="F2F6FA" w:val="clear"/>
            <w:tcMar>
              <w:top w:type="dxa" w:w="90"/>
              <w:left w:type="dxa" w:w="120"/>
              <w:bottom w:type="dxa" w:w="90"/>
              <w:right w:type="dxa" w:w="120"/>
            </w:tcMar>
            <w:vAlign w:val="center"/>
          </w:tcPr>
          <w:p>
            <w:pPr>
              <w:jc w:val="right"/>
            </w:pPr>
            <w:r>
              <w:rPr>
                <w:color w:val="262626"/>
                <w:sz w:val="20"/>
                <w:szCs w:val="20"/>
              </w:rPr>
              <w:t xml:space="preserve">5,82,700</w:t>
            </w:r>
          </w:p>
        </w:tc>
      </w:tr>
      <w:tr>
        <w:tc>
          <w:tcPr>
            <w:tcW w:type="dxa" w:w="4675"/>
            <w:shd w:fill="FFFFFF" w:val="clear"/>
            <w:tcMar>
              <w:top w:type="dxa" w:w="90"/>
              <w:left w:type="dxa" w:w="120"/>
              <w:bottom w:type="dxa" w:w="90"/>
              <w:right w:type="dxa" w:w="120"/>
            </w:tcMar>
            <w:vAlign w:val="center"/>
          </w:tcPr>
          <w:p>
            <w:pPr>
              <w:jc w:val="left"/>
            </w:pPr>
            <w:r>
              <w:rPr>
                <w:color w:val="262626"/>
                <w:sz w:val="20"/>
                <w:szCs w:val="20"/>
              </w:rPr>
              <w:t xml:space="preserve">Aditi Shah</w:t>
            </w:r>
          </w:p>
        </w:tc>
        <w:tc>
          <w:tcPr>
            <w:tcW w:type="dxa" w:w="4675"/>
            <w:shd w:fill="FFFFFF" w:val="clear"/>
            <w:tcMar>
              <w:top w:type="dxa" w:w="90"/>
              <w:left w:type="dxa" w:w="120"/>
              <w:bottom w:type="dxa" w:w="90"/>
              <w:right w:type="dxa" w:w="120"/>
            </w:tcMar>
            <w:vAlign w:val="center"/>
          </w:tcPr>
          <w:p>
            <w:pPr>
              <w:jc w:val="right"/>
            </w:pPr>
            <w:r>
              <w:rPr>
                <w:color w:val="262626"/>
                <w:sz w:val="20"/>
                <w:szCs w:val="20"/>
              </w:rPr>
              <w:t xml:space="preserve">5,01,200</w:t>
            </w:r>
          </w:p>
        </w:tc>
      </w:tr>
      <w:tr>
        <w:tc>
          <w:tcPr>
            <w:tcW w:type="dxa" w:w="4675"/>
            <w:shd w:fill="F2F6FA" w:val="clear"/>
            <w:tcMar>
              <w:top w:type="dxa" w:w="90"/>
              <w:left w:type="dxa" w:w="120"/>
              <w:bottom w:type="dxa" w:w="90"/>
              <w:right w:type="dxa" w:w="120"/>
            </w:tcMar>
            <w:vAlign w:val="center"/>
          </w:tcPr>
          <w:p>
            <w:pPr>
              <w:jc w:val="left"/>
            </w:pPr>
            <w:r>
              <w:rPr>
                <w:color w:val="262626"/>
                <w:sz w:val="20"/>
                <w:szCs w:val="20"/>
              </w:rPr>
              <w:t xml:space="preserve">Deepak Joshi</w:t>
            </w:r>
          </w:p>
        </w:tc>
        <w:tc>
          <w:tcPr>
            <w:tcW w:type="dxa" w:w="4675"/>
            <w:shd w:fill="F2F6FA" w:val="clear"/>
            <w:tcMar>
              <w:top w:type="dxa" w:w="90"/>
              <w:left w:type="dxa" w:w="120"/>
              <w:bottom w:type="dxa" w:w="90"/>
              <w:right w:type="dxa" w:w="120"/>
            </w:tcMar>
            <w:vAlign w:val="center"/>
          </w:tcPr>
          <w:p>
            <w:pPr>
              <w:jc w:val="right"/>
            </w:pPr>
            <w:r>
              <w:rPr>
                <w:color w:val="262626"/>
                <w:sz w:val="20"/>
                <w:szCs w:val="20"/>
              </w:rPr>
              <w:t xml:space="preserve">1,47,000</w:t>
            </w:r>
          </w:p>
        </w:tc>
      </w:tr>
      <w:tr>
        <w:tc>
          <w:tcPr>
            <w:tcW w:type="dxa" w:w="4675"/>
            <w:shd w:fill="FFFFFF" w:val="clear"/>
            <w:tcMar>
              <w:top w:type="dxa" w:w="90"/>
              <w:left w:type="dxa" w:w="120"/>
              <w:bottom w:type="dxa" w:w="90"/>
              <w:right w:type="dxa" w:w="120"/>
            </w:tcMar>
            <w:vAlign w:val="center"/>
          </w:tcPr>
          <w:p>
            <w:pPr>
              <w:jc w:val="left"/>
            </w:pPr>
            <w:r>
              <w:rPr>
                <w:color w:val="262626"/>
                <w:sz w:val="20"/>
                <w:szCs w:val="20"/>
              </w:rPr>
              <w:t xml:space="preserve">Arif Khan</w:t>
            </w:r>
          </w:p>
        </w:tc>
        <w:tc>
          <w:tcPr>
            <w:tcW w:type="dxa" w:w="4675"/>
            <w:shd w:fill="FFFFFF" w:val="clear"/>
            <w:tcMar>
              <w:top w:type="dxa" w:w="90"/>
              <w:left w:type="dxa" w:w="120"/>
              <w:bottom w:type="dxa" w:w="90"/>
              <w:right w:type="dxa" w:w="120"/>
            </w:tcMar>
            <w:vAlign w:val="center"/>
          </w:tcPr>
          <w:p>
            <w:pPr>
              <w:jc w:val="right"/>
            </w:pPr>
            <w:r>
              <w:rPr>
                <w:color w:val="262626"/>
                <w:sz w:val="20"/>
                <w:szCs w:val="20"/>
              </w:rPr>
              <w:t xml:space="preserve">1,40,200</w:t>
            </w:r>
          </w:p>
        </w:tc>
      </w:tr>
    </w:tbl>
    <w:p>
      <w:pPr>
        <w:spacing w:after="180" w:line="300"/>
      </w:pPr>
      <w:r>
        <w:rPr>
          <w:color w:val="262626"/>
        </w:rPr>
        <w:t xml:space="preserve">Insight: Rajesh Sharma, Karan Singh, and Aditi Shah together contribute over 61% of total sales, indicating high dependency on a small group of top performers. Structured mentoring or process replication from these performers could help lift mid-tier sales contributors.</w:t>
      </w:r>
    </w:p>
    <w:p>
      <w:r>
        <w:br w:type="page"/>
      </w:r>
    </w:p>
    <w:p>
      <w:pPr>
        <w:pStyle w:val="Heading1"/>
        <w:spacing w:after="160" w:before="320"/>
      </w:pPr>
      <w:r>
        <w:rPr>
          <w:b/>
          <w:bCs/>
          <w:color w:val="1F3864"/>
        </w:rPr>
        <w:t xml:space="preserve">Dashboard Snapshot</w:t>
      </w:r>
    </w:p>
    <w:p>
      <w:pPr>
        <w:spacing w:after="180" w:line="300"/>
      </w:pPr>
      <w:r>
        <w:rPr>
          <w:color w:val="262626"/>
        </w:rPr>
        <w:t xml:space="preserve">The full interactive dashboard — including KPI cards, regional donut chart, product bar chart, and monthly trend line — is shown below and available as a filterable Excel workbook.</w:t>
      </w:r>
    </w:p>
    <w:p>
      <w:pPr>
        <w:spacing w:after="120" w:before="12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pStyle w:val="Heading1"/>
        <w:spacing w:after="160" w:before="320"/>
      </w:pPr>
      <w:r>
        <w:rPr>
          <w:b/>
          <w:bCs/>
          <w:color w:val="1F3864"/>
        </w:rPr>
        <w:t xml:space="preserve">Recommendations</w:t>
      </w:r>
    </w:p>
    <w:p>
      <w:pPr>
        <w:pStyle w:val="ListParagraph"/>
        <w:numPr>
          <w:ilvl w:val="0"/>
          <w:numId w:val="2"/>
        </w:numPr>
        <w:spacing w:after="100" w:line="280"/>
      </w:pPr>
      <w:r>
        <w:rPr>
          <w:color w:val="262626"/>
        </w:rPr>
        <w:t xml:space="preserve">Investigate the Sep–Dec sales decline against inventory, marketing, and staffing records to identify root cause.</w:t>
      </w:r>
    </w:p>
    <w:p>
      <w:pPr>
        <w:pStyle w:val="ListParagraph"/>
        <w:numPr>
          <w:ilvl w:val="0"/>
          <w:numId w:val="2"/>
        </w:numPr>
        <w:spacing w:after="100" w:line="280"/>
      </w:pPr>
      <w:r>
        <w:rPr>
          <w:color w:val="262626"/>
        </w:rPr>
        <w:t xml:space="preserve">Increase focus on the South region through targeted promotions or account outreach to lift its low share of revenue.</w:t>
      </w:r>
    </w:p>
    <w:p>
      <w:pPr>
        <w:pStyle w:val="ListParagraph"/>
        <w:numPr>
          <w:ilvl w:val="0"/>
          <w:numId w:val="2"/>
        </w:numPr>
        <w:spacing w:after="100" w:line="280"/>
      </w:pPr>
      <w:r>
        <w:rPr>
          <w:color w:val="262626"/>
        </w:rPr>
        <w:t xml:space="preserve">Bundle high-margin accessories (Mouse, Keyboard) with Laptop purchases to raise average order value.</w:t>
      </w:r>
    </w:p>
    <w:p>
      <w:pPr>
        <w:pStyle w:val="ListParagraph"/>
        <w:numPr>
          <w:ilvl w:val="0"/>
          <w:numId w:val="2"/>
        </w:numPr>
        <w:spacing w:after="100" w:line="280"/>
      </w:pPr>
      <w:r>
        <w:rPr>
          <w:color w:val="262626"/>
        </w:rPr>
        <w:t xml:space="preserve">Document and replicate the sales approach of top performers (Rajesh Sharma, Karan Singh, Aditi Shah) across the wider sales team.</w:t>
      </w:r>
    </w:p>
    <w:p>
      <w:pPr>
        <w:pStyle w:val="ListParagraph"/>
        <w:numPr>
          <w:ilvl w:val="0"/>
          <w:numId w:val="2"/>
        </w:numPr>
        <w:spacing w:after="100" w:line="280"/>
      </w:pPr>
      <w:r>
        <w:rPr>
          <w:color w:val="262626"/>
        </w:rPr>
        <w:t xml:space="preserve">Set a recovery target for Q4 2024/Q1 2025 to bring monthly sales back toward the ₹2,70,000+ range observed in H1.</w:t>
      </w:r>
    </w:p>
    <w:p>
      <w:pPr>
        <w:pStyle w:val="Heading1"/>
        <w:spacing w:after="160" w:before="320"/>
      </w:pPr>
      <w:r>
        <w:rPr>
          <w:b/>
          <w:bCs/>
          <w:color w:val="1F3864"/>
        </w:rPr>
        <w:t xml:space="preserve">Conclusion</w:t>
      </w:r>
    </w:p>
    <w:p>
      <w:pPr>
        <w:spacing w:after="180" w:line="300"/>
      </w:pPr>
      <w:r>
        <w:rPr>
          <w:color w:val="262626"/>
        </w:rPr>
        <w:t xml:space="preserve">The business delivered strong, consistent performance through the first eight months of the analysis period, anchored by the North and East regions and driven heavily by Laptop sales. The sharp decline beginning in September is the single most important finding in this dataset and should be prioritized for root-cause investigation, as reversing it represents the largest available opportunity for revenue recovery.</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jc w:val="right"/>
    </w:pPr>
    <w:r>
      <w:rPr>
        <w:color w:val="595959"/>
        <w:sz w:val="16"/>
        <w:szCs w:val="16"/>
      </w:rPr>
      <w:t xml:space="preserve">Sales Performance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9a5b09e2338a90c29388f6095f7113c8e2a46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2026-07-27T03:17:02.601Z</dcterms:created>
  <dcterms:modified xsi:type="dcterms:W3CDTF">2026-07-27T03:17:02.614Z</dcterms:modified>
</cp:coreProperties>
</file>

<file path=docProps/custom.xml><?xml version="1.0" encoding="utf-8"?>
<Properties xmlns="http://schemas.openxmlformats.org/officeDocument/2006/custom-properties" xmlns:vt="http://schemas.openxmlformats.org/officeDocument/2006/docPropsVTypes"/>
</file>