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471">
        <w:rPr>
          <w:rFonts w:ascii="Times New Roman" w:hAnsi="Times New Roman" w:cs="Times New Roman"/>
          <w:sz w:val="28"/>
          <w:szCs w:val="28"/>
        </w:rPr>
        <w:t>Терноп</w:t>
      </w:r>
      <w:proofErr w:type="spellEnd"/>
      <w:r w:rsidRPr="00A5447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A54471">
        <w:rPr>
          <w:rFonts w:ascii="Times New Roman" w:hAnsi="Times New Roman" w:cs="Times New Roman"/>
          <w:sz w:val="28"/>
          <w:szCs w:val="28"/>
        </w:rPr>
        <w:t>льський</w:t>
      </w:r>
      <w:proofErr w:type="spellEnd"/>
      <w:r w:rsidRPr="00A54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A54471">
        <w:rPr>
          <w:rFonts w:ascii="Times New Roman" w:hAnsi="Times New Roman" w:cs="Times New Roman"/>
          <w:sz w:val="28"/>
          <w:szCs w:val="28"/>
        </w:rPr>
        <w:t>ац</w:t>
      </w:r>
      <w:proofErr w:type="spellEnd"/>
      <w:r w:rsidRPr="00A5447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A54471">
        <w:rPr>
          <w:rFonts w:ascii="Times New Roman" w:hAnsi="Times New Roman" w:cs="Times New Roman"/>
          <w:sz w:val="28"/>
          <w:szCs w:val="28"/>
        </w:rPr>
        <w:t>ональний</w:t>
      </w:r>
      <w:proofErr w:type="spellEnd"/>
      <w:r w:rsidRPr="00A54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54471">
        <w:rPr>
          <w:rFonts w:ascii="Times New Roman" w:hAnsi="Times New Roman" w:cs="Times New Roman"/>
          <w:sz w:val="28"/>
          <w:szCs w:val="28"/>
        </w:rPr>
        <w:t>коном</w:t>
      </w:r>
      <w:r w:rsidRPr="00A5447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A54471">
        <w:rPr>
          <w:rFonts w:ascii="Times New Roman" w:hAnsi="Times New Roman" w:cs="Times New Roman"/>
          <w:sz w:val="28"/>
          <w:szCs w:val="28"/>
        </w:rPr>
        <w:t>чний</w:t>
      </w:r>
      <w:proofErr w:type="spellEnd"/>
      <w:r w:rsidRPr="00A54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54471">
        <w:rPr>
          <w:rFonts w:ascii="Times New Roman" w:hAnsi="Times New Roman" w:cs="Times New Roman"/>
          <w:sz w:val="28"/>
          <w:szCs w:val="28"/>
        </w:rPr>
        <w:t>н</w:t>
      </w:r>
      <w:r w:rsidRPr="00A5447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A54471">
        <w:rPr>
          <w:rFonts w:ascii="Times New Roman" w:hAnsi="Times New Roman" w:cs="Times New Roman"/>
          <w:sz w:val="28"/>
          <w:szCs w:val="28"/>
        </w:rPr>
        <w:t>верситет</w:t>
      </w:r>
      <w:proofErr w:type="spellEnd"/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інформаційних технологій</w:t>
      </w: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Кафедра КІ</w:t>
      </w: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Default="000E6FF7" w:rsidP="000E6FF7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proofErr w:type="spellStart"/>
      <w:r w:rsidRPr="00A54471">
        <w:rPr>
          <w:rFonts w:ascii="Times New Roman" w:hAnsi="Times New Roman" w:cs="Times New Roman"/>
          <w:sz w:val="40"/>
          <w:szCs w:val="28"/>
          <w:lang w:val="uk-UA"/>
        </w:rPr>
        <w:t>Лаболаторна</w:t>
      </w:r>
      <w:proofErr w:type="spellEnd"/>
      <w:r w:rsidRPr="00A54471">
        <w:rPr>
          <w:rFonts w:ascii="Times New Roman" w:hAnsi="Times New Roman" w:cs="Times New Roman"/>
          <w:sz w:val="40"/>
          <w:szCs w:val="28"/>
          <w:lang w:val="uk-UA"/>
        </w:rPr>
        <w:t xml:space="preserve"> робота № 1</w:t>
      </w:r>
    </w:p>
    <w:p w:rsidR="000E6FF7" w:rsidRPr="00B527D2" w:rsidRDefault="000E6FF7" w:rsidP="000E6FF7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  <w:lang w:val="uk-UA"/>
        </w:rPr>
        <w:t xml:space="preserve">З дисципліни </w:t>
      </w:r>
      <w:r w:rsidRPr="00B527D2">
        <w:rPr>
          <w:rFonts w:ascii="Times New Roman" w:hAnsi="Times New Roman" w:cs="Times New Roman"/>
          <w:sz w:val="40"/>
          <w:szCs w:val="28"/>
        </w:rPr>
        <w:t>“</w:t>
      </w:r>
      <w:r>
        <w:rPr>
          <w:rFonts w:ascii="Times New Roman" w:hAnsi="Times New Roman" w:cs="Times New Roman"/>
          <w:sz w:val="40"/>
          <w:szCs w:val="28"/>
          <w:lang w:val="uk-UA"/>
        </w:rPr>
        <w:t>Проектування КСШІ</w:t>
      </w:r>
      <w:r w:rsidRPr="00B527D2">
        <w:rPr>
          <w:rFonts w:ascii="Times New Roman" w:hAnsi="Times New Roman" w:cs="Times New Roman"/>
          <w:sz w:val="40"/>
          <w:szCs w:val="28"/>
        </w:rPr>
        <w:t>”</w:t>
      </w: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FF7" w:rsidRPr="00A54471" w:rsidRDefault="000E6FF7" w:rsidP="000E6FF7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Виконав :</w:t>
      </w:r>
    </w:p>
    <w:p w:rsidR="000E6FF7" w:rsidRPr="00A54471" w:rsidRDefault="000E6FF7" w:rsidP="000E6FF7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Ст. гр. КСМм-51</w:t>
      </w:r>
    </w:p>
    <w:p w:rsidR="000E6FF7" w:rsidRPr="00A54471" w:rsidRDefault="000E6FF7" w:rsidP="000E6FF7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>Яцик Сергій</w:t>
      </w:r>
    </w:p>
    <w:p w:rsidR="000E6FF7" w:rsidRPr="00A54471" w:rsidRDefault="000E6FF7" w:rsidP="000E6FF7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 w:rsidRPr="00A5447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0E6FF7" w:rsidRPr="00A54471" w:rsidRDefault="000E6FF7" w:rsidP="000E6FF7">
      <w:pPr>
        <w:ind w:firstLine="6237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Вербовий С.О.</w:t>
      </w:r>
    </w:p>
    <w:p w:rsidR="000E6FF7" w:rsidRDefault="000E6FF7" w:rsidP="000E6FF7">
      <w:pPr>
        <w:rPr>
          <w:lang w:val="uk-UA"/>
        </w:rPr>
      </w:pPr>
    </w:p>
    <w:p w:rsidR="000E6FF7" w:rsidRDefault="000E6FF7" w:rsidP="000E6FF7">
      <w:pPr>
        <w:rPr>
          <w:lang w:val="uk-UA"/>
        </w:rPr>
      </w:pPr>
    </w:p>
    <w:p w:rsidR="000E6FF7" w:rsidRDefault="000E6FF7" w:rsidP="000E6FF7">
      <w:pPr>
        <w:rPr>
          <w:lang w:val="uk-UA"/>
        </w:rPr>
      </w:pPr>
    </w:p>
    <w:p w:rsidR="000E6FF7" w:rsidRDefault="000E6FF7" w:rsidP="000E6FF7">
      <w:pPr>
        <w:rPr>
          <w:lang w:val="uk-UA"/>
        </w:rPr>
      </w:pPr>
    </w:p>
    <w:p w:rsidR="00376359" w:rsidRPr="000E6FF7" w:rsidRDefault="000E6FF7" w:rsidP="000E6FF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4471">
        <w:rPr>
          <w:rFonts w:ascii="Times New Roman" w:hAnsi="Times New Roman" w:cs="Times New Roman"/>
          <w:sz w:val="28"/>
          <w:lang w:val="uk-UA"/>
        </w:rPr>
        <w:t>Тернопіль 2013</w:t>
      </w:r>
    </w:p>
    <w:p w:rsidR="00F47BC2" w:rsidRPr="00F47BC2" w:rsidRDefault="00F47BC2" w:rsidP="00F47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 1</w:t>
      </w:r>
    </w:p>
    <w:p w:rsidR="00F47BC2" w:rsidRPr="00F47BC2" w:rsidRDefault="00F47BC2" w:rsidP="00F47B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47BC2" w:rsidRPr="00F47BC2" w:rsidRDefault="00F47BC2" w:rsidP="00F47B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>: Використання технології OLAP в системах підтримки прийняття рішень (СППР)</w:t>
      </w:r>
    </w:p>
    <w:p w:rsidR="00F47BC2" w:rsidRPr="00F47BC2" w:rsidRDefault="00F47BC2" w:rsidP="00F47B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F47BC2">
        <w:rPr>
          <w:rFonts w:ascii="Times New Roman" w:hAnsi="Times New Roman" w:cs="Times New Roman"/>
          <w:sz w:val="28"/>
          <w:szCs w:val="28"/>
          <w:lang w:val="uk-UA"/>
        </w:rPr>
        <w:t>Дослідити можливості використання технології OLAP засобами MS Excel.</w:t>
      </w:r>
    </w:p>
    <w:p w:rsidR="00F47BC2" w:rsidRPr="00F47BC2" w:rsidRDefault="00F47BC2" w:rsidP="00F47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ТЕОРЕТИЧНІ ВІДОМОСТІ</w:t>
      </w:r>
      <w:r w:rsidRPr="00F47BC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1.1. СППР</w:t>
      </w:r>
    </w:p>
    <w:p w:rsidR="00F47BC2" w:rsidRPr="00F47BC2" w:rsidRDefault="00F47BC2" w:rsidP="00F47BC2">
      <w:pPr>
        <w:pStyle w:val="127"/>
        <w:spacing w:line="276" w:lineRule="auto"/>
        <w:rPr>
          <w:szCs w:val="28"/>
          <w:lang w:val="uk-UA"/>
        </w:rPr>
      </w:pPr>
      <w:r w:rsidRPr="00F47BC2">
        <w:rPr>
          <w:szCs w:val="28"/>
          <w:lang w:val="uk-UA"/>
        </w:rPr>
        <w:t xml:space="preserve">Донині немає загальновизнаного визначення СППР. Наприклад, СППР розуміють як «інтерактивну прикладну систему, яка забезпечує кінцевим користувачам, які приймають рішення, легкий і зручний доступ до даних і моделей з метою прийняття рішень у </w:t>
      </w:r>
      <w:proofErr w:type="spellStart"/>
      <w:r w:rsidRPr="00F47BC2">
        <w:rPr>
          <w:szCs w:val="28"/>
          <w:lang w:val="uk-UA"/>
        </w:rPr>
        <w:t>напівструктурованих</w:t>
      </w:r>
      <w:proofErr w:type="spellEnd"/>
      <w:r w:rsidRPr="00F47BC2">
        <w:rPr>
          <w:szCs w:val="28"/>
          <w:lang w:val="uk-UA"/>
        </w:rPr>
        <w:t xml:space="preserve"> і неструктурованих ситуаціях з різних галузей людської діяльності». Існують інші визначення, а саме: «СППР базується на </w:t>
      </w:r>
      <w:proofErr w:type="spellStart"/>
      <w:r w:rsidRPr="00F47BC2">
        <w:rPr>
          <w:szCs w:val="28"/>
          <w:lang w:val="uk-UA"/>
        </w:rPr>
        <w:t>використаннях</w:t>
      </w:r>
      <w:proofErr w:type="spellEnd"/>
      <w:r w:rsidRPr="00F47BC2">
        <w:rPr>
          <w:szCs w:val="28"/>
          <w:lang w:val="uk-UA"/>
        </w:rPr>
        <w:t xml:space="preserve"> моделей ряду процедур з обробки даних і думок, що допомагають керівнику в прийнятті рішень»; «СППР – це інтерактивні автоматизовані системи, що допомагають особам, які приймають рішення, використовувати дані та моделі, щоб вирішувати неструктуровані та </w:t>
      </w:r>
      <w:proofErr w:type="spellStart"/>
      <w:r w:rsidRPr="00F47BC2">
        <w:rPr>
          <w:szCs w:val="28"/>
          <w:lang w:val="uk-UA"/>
        </w:rPr>
        <w:t>слабоструктуровані</w:t>
      </w:r>
      <w:proofErr w:type="spellEnd"/>
      <w:r w:rsidRPr="00F47BC2">
        <w:rPr>
          <w:szCs w:val="28"/>
          <w:lang w:val="uk-UA"/>
        </w:rPr>
        <w:t xml:space="preserve"> проблеми»; «СППР - це комп'ютерна інформаційна система, використовувана для підтримки різних видів діяльності при прийнятті рішень у ситуаціях, де неможливо або небажано мати автоматичну систему, що повністю виконує весь процес рішень». Нарешті, існує твердження, відповідно до якого СППР - це специфічний і добре описуваний клас систем на основі персональних комп'ютерів.</w:t>
      </w:r>
    </w:p>
    <w:p w:rsidR="00F47BC2" w:rsidRPr="00F47BC2" w:rsidRDefault="00F47BC2" w:rsidP="00F47BC2">
      <w:pPr>
        <w:pStyle w:val="127"/>
        <w:spacing w:line="276" w:lineRule="auto"/>
        <w:rPr>
          <w:szCs w:val="28"/>
          <w:lang w:val="uk-UA"/>
        </w:rPr>
      </w:pPr>
      <w:r w:rsidRPr="00F47BC2">
        <w:rPr>
          <w:szCs w:val="28"/>
          <w:lang w:val="uk-UA"/>
        </w:rPr>
        <w:t xml:space="preserve">Таке </w:t>
      </w:r>
      <w:proofErr w:type="spellStart"/>
      <w:r w:rsidRPr="00F47BC2">
        <w:rPr>
          <w:szCs w:val="28"/>
          <w:lang w:val="uk-UA"/>
        </w:rPr>
        <w:t>різноманітгя</w:t>
      </w:r>
      <w:proofErr w:type="spellEnd"/>
      <w:r w:rsidRPr="00F47BC2">
        <w:rPr>
          <w:szCs w:val="28"/>
          <w:lang w:val="uk-UA"/>
        </w:rPr>
        <w:t xml:space="preserve"> визначень систем підтримки прийняття рішень означає широкий діапазон  різних форм, розмірів,  типів СППР (додаток 4). Але практично всі види цих комп'ютерних систем мають чітку структуру, що включає три головних компоненти:   підсистему інтерфейсу користувача; підсистему управління базою даних і підсистему управління базою моделей. Ці компоненти забезпечують у СППР реалізацію ряду важливих концепцій побудови інформаційних систем: інтерактивність, інтегрованість, потужність, доступність, гнучкість, надійність, </w:t>
      </w:r>
      <w:proofErr w:type="spellStart"/>
      <w:r w:rsidRPr="00F47BC2">
        <w:rPr>
          <w:szCs w:val="28"/>
          <w:lang w:val="uk-UA"/>
        </w:rPr>
        <w:t>робастність</w:t>
      </w:r>
      <w:proofErr w:type="spellEnd"/>
      <w:r w:rsidRPr="00F47BC2">
        <w:rPr>
          <w:szCs w:val="28"/>
          <w:lang w:val="uk-UA"/>
        </w:rPr>
        <w:t>, керованість: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інтерактивність СППР означає, що система відгукується на різні дії, якими людина хоче вплинути на обчислювальний процес, зокрема, при діалоговому режимі. Людина і система обмінюються інформацією  в темпі, порівнюваному  з темпом обробки  інформації людиною.  Але  практика </w:t>
      </w:r>
      <w:r w:rsidRPr="00F47BC2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підтверджує, що лише невелика кількість керівників бажає і вміє вести прямий діалог з комп'ютером. Багато з них віддають перевагу взаємодії з системою через посередника або в режимі непрямого доступу, де можлива пакетна обробка інформації. Разом з тим, властивість інтерактивності необхідна при досліджені нових проблем і ситуацій, при адаптивному проектуванні складних  СППР;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інтегрованість СППР забезпечує сумісність складових частин системи управління даними і засобів спілкування з користувачами в процесі підтримки прийняття рішень;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потужність СППР означає спроможність системи відповідати на найсуттєвіші питання;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доступність СППР - це здатність забезпечувати видачу відповідей на запити користувача в потрібній формі та в необхідний час;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гнучкість СППР характеризує можливість системи адаптуватись до змін потреб і перемін у ситуаціях;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надійність СППР полягає в здатності системи виконувати потрібні функції протягом заданого проміжку часу;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робастність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robustness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) СППР - це міра здатності систем відновлюватися при виникненні помилкових ситуацій зовнішнього і внутрішнього походження. Наприклад, у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робастній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системі допускають помилки у вхідній інформації або несправності апаратних засобів. Хоча між надійністю і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робастністю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існує певний зв'язок, але ці дві характеристики систем різні: система, що ніколи не буде поновлюватися при виконанні помилкових ситуацій, може бути надійною, не будучи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робастною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; систему з високим рівнем </w:t>
      </w:r>
      <w:proofErr w:type="spellStart"/>
      <w:r w:rsidRPr="00F47BC2">
        <w:rPr>
          <w:rFonts w:ascii="Times New Roman" w:hAnsi="Times New Roman" w:cs="Times New Roman"/>
          <w:sz w:val="28"/>
          <w:szCs w:val="28"/>
          <w:lang w:val="uk-UA"/>
        </w:rPr>
        <w:t>робастності</w:t>
      </w:r>
      <w:proofErr w:type="spellEnd"/>
      <w:r w:rsidRPr="00F47BC2">
        <w:rPr>
          <w:rFonts w:ascii="Times New Roman" w:hAnsi="Times New Roman" w:cs="Times New Roman"/>
          <w:sz w:val="28"/>
          <w:szCs w:val="28"/>
          <w:lang w:val="uk-UA"/>
        </w:rPr>
        <w:t>, що може відновлюватися і продовжувати роботу при багатьох помилкових ситуаціях, можна все-таки віднести до ненадійних, бо вона не спроможна завчасно до пошкодження виконати необхідні службові процедури;</w:t>
      </w:r>
    </w:p>
    <w:p w:rsidR="00F47BC2" w:rsidRPr="00F47BC2" w:rsidRDefault="00F47BC2" w:rsidP="00F47B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8"/>
          <w:lang w:val="uk-UA"/>
        </w:rPr>
      </w:pPr>
      <w:r w:rsidRPr="00F47BC2">
        <w:rPr>
          <w:rFonts w:ascii="Times New Roman" w:hAnsi="Times New Roman" w:cs="Times New Roman"/>
          <w:sz w:val="28"/>
          <w:szCs w:val="28"/>
          <w:lang w:val="uk-UA"/>
        </w:rPr>
        <w:t>керованість СППР означає спроможність з боку користувача контролювати дії системи і втручатись у хід розв'язання задачі.</w:t>
      </w: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BC2" w:rsidRDefault="00F47BC2" w:rsidP="00F47BC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47BC2">
        <w:rPr>
          <w:rFonts w:ascii="Times New Roman" w:hAnsi="Times New Roman" w:cs="Times New Roman"/>
          <w:sz w:val="28"/>
          <w:lang w:val="uk-UA"/>
        </w:rPr>
        <w:lastRenderedPageBreak/>
        <w:t>Варіант 17</w:t>
      </w:r>
    </w:p>
    <w:p w:rsidR="00F47BC2" w:rsidRPr="00F47BC2" w:rsidRDefault="00F47BC2" w:rsidP="00F47BC2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78"/>
        <w:gridCol w:w="371"/>
        <w:gridCol w:w="853"/>
        <w:gridCol w:w="1288"/>
      </w:tblGrid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С. г. культура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Рік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Область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Врожай</w:t>
            </w:r>
            <w:r w:rsidRPr="00F47BC2">
              <w:rPr>
                <w:rFonts w:ascii="Times New Roman" w:hAnsi="Times New Roman" w:cs="Times New Roman"/>
                <w:lang w:val="uk-UA"/>
              </w:rPr>
              <w:softHyphen/>
              <w:t>ність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25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31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42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50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47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38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Соняшник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33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25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35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45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44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42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35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Кукурудза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50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40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37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32</w:t>
            </w:r>
          </w:p>
        </w:tc>
      </w:tr>
      <w:tr w:rsidR="00F47BC2" w:rsidRPr="00F47BC2" w:rsidTr="00F47BC2">
        <w:trPr>
          <w:trHeight w:val="4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Буряк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47BC2" w:rsidRPr="00F47BC2" w:rsidRDefault="00F47BC2" w:rsidP="00FB1D0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47BC2">
              <w:rPr>
                <w:rFonts w:ascii="Times New Roman" w:hAnsi="Times New Roman" w:cs="Times New Roman"/>
                <w:lang w:val="uk-UA"/>
              </w:rPr>
              <w:t>27</w:t>
            </w:r>
          </w:p>
        </w:tc>
      </w:tr>
    </w:tbl>
    <w:p w:rsidR="00F47BC2" w:rsidRPr="00F47BC2" w:rsidRDefault="00F47BC2" w:rsidP="00F47BC2">
      <w:pPr>
        <w:jc w:val="center"/>
        <w:rPr>
          <w:rFonts w:ascii="Times New Roman" w:hAnsi="Times New Roman" w:cs="Times New Roman"/>
          <w:color w:val="000000"/>
          <w:szCs w:val="28"/>
          <w:lang w:val="uk-UA"/>
        </w:rPr>
      </w:pPr>
    </w:p>
    <w:p w:rsidR="00F47BC2" w:rsidRPr="006952F9" w:rsidRDefault="00F47BC2" w:rsidP="00F47BC2">
      <w:pPr>
        <w:widowControl w:val="0"/>
        <w:autoSpaceDE w:val="0"/>
        <w:autoSpaceDN w:val="0"/>
        <w:adjustRightInd w:val="0"/>
        <w:spacing w:after="0"/>
        <w:jc w:val="both"/>
        <w:rPr>
          <w:rFonts w:cs="Times New Roman"/>
          <w:szCs w:val="28"/>
          <w:lang w:val="uk-UA"/>
        </w:rPr>
      </w:pPr>
    </w:p>
    <w:p w:rsidR="0086660C" w:rsidRPr="00F47BC2" w:rsidRDefault="00F47B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1. </w:t>
      </w:r>
      <w:r w:rsidR="00F40018"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Зведена таблиця даних</w:t>
      </w:r>
      <w:r w:rsidR="00F40018"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0018" w:rsidRPr="00F47BC2">
        <w:rPr>
          <w:rFonts w:ascii="Times New Roman" w:hAnsi="Times New Roman" w:cs="Times New Roman"/>
          <w:bCs/>
          <w:sz w:val="28"/>
          <w:szCs w:val="28"/>
        </w:rPr>
        <w:t>с.г</w:t>
      </w:r>
      <w:proofErr w:type="spellEnd"/>
      <w:r w:rsidR="00F40018"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0018" w:rsidRPr="00F47BC2">
        <w:rPr>
          <w:rFonts w:ascii="Times New Roman" w:hAnsi="Times New Roman" w:cs="Times New Roman"/>
          <w:bCs/>
          <w:sz w:val="28"/>
          <w:szCs w:val="28"/>
        </w:rPr>
        <w:t>культури</w:t>
      </w:r>
      <w:proofErr w:type="spellEnd"/>
      <w:r w:rsidR="00F40018"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0018" w:rsidRPr="00F47BC2">
        <w:rPr>
          <w:rFonts w:ascii="Times New Roman" w:hAnsi="Times New Roman" w:cs="Times New Roman"/>
          <w:bCs/>
          <w:sz w:val="28"/>
          <w:szCs w:val="28"/>
        </w:rPr>
        <w:t>Соняшник</w:t>
      </w:r>
      <w:proofErr w:type="spellEnd"/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</w:rPr>
      </w:pPr>
      <w:r w:rsidRPr="00F47B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C6ABE82" wp14:editId="58E8D0DE">
            <wp:extent cx="5940425" cy="14536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</w:rPr>
      </w:pPr>
    </w:p>
    <w:p w:rsidR="00F40018" w:rsidRDefault="00F400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FE87743" wp14:editId="4D5827FF">
            <wp:extent cx="5724525" cy="3038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C2" w:rsidRPr="00F47BC2" w:rsidRDefault="00F47BC2" w:rsidP="00F47B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</w:t>
      </w:r>
      <w:r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Зведена діаграма для відображення обсягів врожайності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с.г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культури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Соняшник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BC2" w:rsidRPr="00F47BC2" w:rsidRDefault="00F47B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018" w:rsidRPr="00F47BC2" w:rsidRDefault="00F47BC2" w:rsidP="00F47B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Зведена таблиця даних</w:t>
      </w:r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с.г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культури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018"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Кукурудза</w:t>
      </w:r>
      <w:r w:rsidR="00F40018"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0018" w:rsidRPr="00F47BC2" w:rsidRDefault="00F40018" w:rsidP="00F400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BBD2C3D" wp14:editId="43B41CA2">
            <wp:extent cx="5940425" cy="143529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18" w:rsidRPr="00F47BC2" w:rsidRDefault="00F40018" w:rsidP="00F400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1DC133" wp14:editId="41899C6A">
            <wp:extent cx="5969944" cy="3133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451" cy="31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18" w:rsidRPr="00F47BC2" w:rsidRDefault="00F47BC2" w:rsidP="00F47BC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 </w:t>
      </w:r>
      <w:r w:rsidR="00F40018" w:rsidRPr="00F47B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Зведена діаграма даних </w:t>
      </w:r>
      <w:proofErr w:type="spellStart"/>
      <w:r w:rsidR="00F40018" w:rsidRPr="00F47BC2">
        <w:rPr>
          <w:rFonts w:ascii="Times New Roman" w:hAnsi="Times New Roman" w:cs="Times New Roman"/>
          <w:bCs/>
          <w:sz w:val="28"/>
          <w:szCs w:val="28"/>
        </w:rPr>
        <w:t>с.г</w:t>
      </w:r>
      <w:proofErr w:type="spellEnd"/>
      <w:r w:rsidR="00F40018"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0018" w:rsidRPr="00F47BC2">
        <w:rPr>
          <w:rFonts w:ascii="Times New Roman" w:hAnsi="Times New Roman" w:cs="Times New Roman"/>
          <w:bCs/>
          <w:sz w:val="28"/>
          <w:szCs w:val="28"/>
        </w:rPr>
        <w:t>культури</w:t>
      </w:r>
      <w:proofErr w:type="spellEnd"/>
      <w:r w:rsidR="00F40018"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018"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Кукурудза</w:t>
      </w:r>
    </w:p>
    <w:p w:rsidR="00F40018" w:rsidRPr="00F47BC2" w:rsidRDefault="00F400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0018" w:rsidRPr="00F47BC2" w:rsidRDefault="00F47B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3. </w:t>
      </w:r>
      <w:r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Зведена таблиця даних</w:t>
      </w:r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с.г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культури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018"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Буряк</w:t>
      </w:r>
      <w:r w:rsidR="00F40018" w:rsidRPr="00F47B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0018" w:rsidRPr="00F47BC2" w:rsidRDefault="00F47BC2" w:rsidP="00F400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BDBFED" wp14:editId="7878CB80">
            <wp:extent cx="4855780" cy="1346335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733" cy="13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18" w:rsidRPr="00F47BC2" w:rsidRDefault="00F40018" w:rsidP="00F400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7B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57E2270" wp14:editId="22FBCCB9">
            <wp:extent cx="4918841" cy="25565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040" cy="25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18" w:rsidRPr="00F47BC2" w:rsidRDefault="00F47BC2" w:rsidP="00F47BC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 </w:t>
      </w:r>
      <w:r w:rsidRPr="00F47B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Зведена діаграма даних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с.г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7BC2">
        <w:rPr>
          <w:rFonts w:ascii="Times New Roman" w:hAnsi="Times New Roman" w:cs="Times New Roman"/>
          <w:bCs/>
          <w:sz w:val="28"/>
          <w:szCs w:val="28"/>
        </w:rPr>
        <w:t>культури</w:t>
      </w:r>
      <w:proofErr w:type="spellEnd"/>
      <w:r w:rsidRPr="00F47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018" w:rsidRPr="00F47BC2">
        <w:rPr>
          <w:rFonts w:ascii="Times New Roman" w:hAnsi="Times New Roman" w:cs="Times New Roman"/>
          <w:bCs/>
          <w:sz w:val="28"/>
          <w:szCs w:val="28"/>
          <w:lang w:val="uk-UA"/>
        </w:rPr>
        <w:t>Буряк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527D2" w:rsidRPr="00B6632D" w:rsidRDefault="00B527D2" w:rsidP="00B663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632D">
        <w:rPr>
          <w:rFonts w:ascii="Times New Roman" w:hAnsi="Times New Roman" w:cs="Times New Roman"/>
          <w:sz w:val="28"/>
          <w:szCs w:val="28"/>
          <w:lang w:val="uk-UA"/>
        </w:rPr>
        <w:lastRenderedPageBreak/>
        <w:t>З проведених досліджень можна зробити такі висновки.</w:t>
      </w:r>
    </w:p>
    <w:p w:rsidR="00F40018" w:rsidRPr="00F47BC2" w:rsidRDefault="00B527D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Врожайність  соняшника  в 1 області в 1 і 2й рок трохи нижча ніж в 2 області, зате врожайність  в 3і 4 році вища ніж в 2й області.</w:t>
      </w:r>
    </w:p>
    <w:p w:rsidR="00F40018" w:rsidRDefault="00B527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Врожайність кукурудзи в 2й області протягом  2 років вища ніж  в 1й області, але на 3 і 4 рік  збільшилась.  </w:t>
      </w:r>
    </w:p>
    <w:p w:rsidR="00B527D2" w:rsidRDefault="00B527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Врожайність </w:t>
      </w:r>
      <w:r w:rsidR="00B6632D">
        <w:rPr>
          <w:rFonts w:ascii="Times New Roman" w:hAnsi="Times New Roman" w:cs="Times New Roman"/>
          <w:sz w:val="28"/>
          <w:szCs w:val="28"/>
          <w:lang w:val="uk-UA"/>
        </w:rPr>
        <w:t>буряка в 2й області в перші 2 роки вища ніж в перші проте в наступні 2 пішла на спад і стала меншою ніж у першій області.</w:t>
      </w:r>
    </w:p>
    <w:p w:rsidR="00B6632D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розмежуємо періоди врожайності на першу і другу половину.</w:t>
      </w:r>
    </w:p>
    <w:p w:rsidR="007F5310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A0E792" wp14:editId="061FA485">
            <wp:extent cx="5534025" cy="16137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147" cy="16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0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4BD601" wp14:editId="38980F56">
            <wp:extent cx="5524500" cy="165174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6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0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AB4B0C" wp14:editId="259E0AF8">
            <wp:extent cx="5391150" cy="188290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259" cy="18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0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E2DFA1D" wp14:editId="7AE700C9">
            <wp:extent cx="5000625" cy="266244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825" cy="26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0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5F92AD" wp14:editId="6643E3CE">
            <wp:extent cx="5010150" cy="25804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850" cy="25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0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F5F688" wp14:editId="7A71408C">
            <wp:extent cx="4933950" cy="260169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217" cy="26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0" w:rsidRPr="00F47BC2" w:rsidRDefault="007F53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  на лабораторній роботі було побудовано зведені таблиці і діаграми що підтримують прийняття рішень використовуючи розрахункові показники у таблиці.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7F5310" w:rsidRPr="00F4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9502D"/>
    <w:multiLevelType w:val="hybridMultilevel"/>
    <w:tmpl w:val="FCF01806"/>
    <w:lvl w:ilvl="0" w:tplc="9738AD92"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18"/>
    <w:rsid w:val="000E6FF7"/>
    <w:rsid w:val="00376359"/>
    <w:rsid w:val="007F5310"/>
    <w:rsid w:val="0086660C"/>
    <w:rsid w:val="00B527D2"/>
    <w:rsid w:val="00B6632D"/>
    <w:rsid w:val="00F40018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BC47E-4101-431E-8476-E53D2B9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018"/>
    <w:rPr>
      <w:rFonts w:ascii="Tahoma" w:hAnsi="Tahoma" w:cs="Tahoma"/>
      <w:sz w:val="16"/>
      <w:szCs w:val="16"/>
    </w:rPr>
  </w:style>
  <w:style w:type="paragraph" w:customStyle="1" w:styleId="a5">
    <w:name w:val="лаб_абзац"/>
    <w:basedOn w:val="a"/>
    <w:rsid w:val="00F40018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7">
    <w:name w:val="Стиль Первая строка:  127 см"/>
    <w:basedOn w:val="a"/>
    <w:rsid w:val="00F47BC2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3602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Se7en</cp:lastModifiedBy>
  <cp:revision>5</cp:revision>
  <dcterms:created xsi:type="dcterms:W3CDTF">2013-09-11T13:57:00Z</dcterms:created>
  <dcterms:modified xsi:type="dcterms:W3CDTF">2013-10-09T10:25:00Z</dcterms:modified>
</cp:coreProperties>
</file>