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работа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>
        <w:rPr>
          <w:rFonts w:ascii="Times New Roman" w:hAnsi="Times New Roman"/>
          <w:b/>
          <w:sz w:val="28"/>
          <w:szCs w:val="28"/>
        </w:rPr>
        <w:t xml:space="preserve">1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Изучение основ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работы в среде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возможности текстового редактора;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Средства отладки и тестирования приложения.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коэффициенты квадратного уравнения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АХ</w:t>
      </w:r>
      <w:r>
        <w:rPr>
          <w:rFonts w:ascii="Times New Roman" w:hAnsi="Times New Roman" w:eastAsia="Times New Roman" w:cs="Times New Roman"/>
          <w:b/>
          <w:sz w:val="28"/>
          <w:szCs w:val="28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+B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Х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=0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Разработ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ать программу нахождения его действительных корней, работающую в консольном режиме.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pBdr/>
        <w:spacing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62013" cy="59557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898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62011" cy="5955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9.45pt;height:468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Изучил основ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 работы в средах програмиирования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возможности текстового редактора;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Средства отладки и тестирования приложения.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1"/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выполнить трассировку без захода в процедуру?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Чтобы выполнить трассировку без захода в процедуру, используйте команду "Обход" (Step Over) — она выполнит вызов процедуры целиком и перейдёт к следующей строке, не заходя внутрь.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определить текущее значение переменной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ходе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трассировки?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72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 время трассировки текущее значение переменной можно определить, наведя курсор на переменную или </w:t>
        <w:tab/>
        <w:t xml:space="preserve">просмотрев её в окне переменных (watch/locals) в отладчике. Также можно ввести имя переменной в </w:t>
        <w:tab/>
        <w:t xml:space="preserve">командную строку отладчика.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сохранить исходный файл?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72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Чтобы сохранить исходный файл, нужно: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88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графическом редакторе/IDE: нажать Ctrl + S или выбрать "Файл → Сохранить".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88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текстовом редакторе (например, nano, vim): использовать соответствующую команду </w:t>
        <w:tab/>
        <w:t xml:space="preserve">(например, :w в </w:t>
        <w:tab/>
        <w:t xml:space="preserve">vim).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прочитать исходный файл?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используйте редактор или команду cat, less, nano и т. д., чтобы прочитать содержимое файла.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получить исполняем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ый файл?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используйте компилятор (например, gcc, fpc, javac) для создания исполняемого файла.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Сформулировать правила составления протокола?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протокол должен содержать дату, место, участников, повестку, обсуждение, решения и подписи.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Сформулировать назначение исходного файла программы.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72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Назначение исходного файла программы — хранить текст программы на языке программирования, </w:t>
        <w:tab/>
        <w:t xml:space="preserve">предназначенный для чтения, редактирования и компиляции.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72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Он содержит алгоритмы, описанные в виде команд, которые позже преобразуются в исполняемый файл.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Сформулировать назначение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исполняемого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файла программы.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72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Назначение исполняемого файла программы — запуск и выполнение программы на компьютере без </w:t>
        <w:tab/>
        <w:t xml:space="preserve">необходимости компиляции.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72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Он содержит машинный код, понятный процессору.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приведенном ниже примере протокола прохождения первого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контрольного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примера исправьте ошибки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несоответствие результатам трассировки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отсутствие или ошибочность описания операции, выполняемой программой, отсу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тств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ие или ошибочность описания результатов выполнения операции)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Чтение с клавиатуры значений переменных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A=2, B=0, C=-2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Sqr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)-4*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*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16.0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&lt;0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условие не выполняется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Проверка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D=0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Вычисление </w:t>
      </w:r>
      <w:r>
        <w:rPr>
          <w:rFonts w:ascii="Times New Roman" w:hAnsi="Times New Roman" w:eastAsia="Times New Roman" w:cs="Times New Roman"/>
          <w:position w:val="-24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65200" cy="431800"/>
                <wp:effectExtent l="0" t="0" r="0" b="0"/>
                <wp:docPr id="5" name="_x0000_i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65200" cy="431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76.00pt;height:34.0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Печать сообщения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X1=-2, X2=2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Задержка,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управляемая пользователем, вво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Enter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Конец сеанса работы программы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0"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а. Чтение с клавиатуры значений переменных: A = 2, B = 0, C = -2.</w:t>
        <w:br/>
        <w:t xml:space="preserve">(Верно. Пользователь вводит значения. Программа сдержанно принимает их без возмущения.)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b. Вычисление дискриминанта:</w:t>
        <w:br/>
        <w:t xml:space="preserve">D = Sqr(B) - 4*A*C = 0² - 4*2*(-2) = 16.0.</w:t>
        <w:br/>
        <w:t xml:space="preserve">(Верно. Всё по учебнику, никакой магии — чистая арифметика.)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c. Проверка условия D &lt; 0:</w:t>
        <w:br/>
        <w:t xml:space="preserve"> Условие не выполняется, так как D = 16 &gt; 0.</w:t>
        <w:br/>
        <w:t xml:space="preserve">(Корректно. Программа — не драматург, отрицательных поворотов не будет.)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d. Проверка условия D = 0:</w:t>
        <w:br/>
        <w:t xml:space="preserve"> Условие не выполняется, так как D ≠ 0.</w:t>
        <w:br/>
        <w:t xml:space="preserve">(Добавим явное указание результата проверки — ясность прежде всего.)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e. Вычисление корней квадратного уравнения по формуле:</w:t>
        <w:br/>
        <w:t xml:space="preserve">X1 = (-B + √D) / (2*A) = (0 + 4) / 4 = 1,</w:t>
        <w:br/>
        <w:t xml:space="preserve">X2 = (-B - √D) / (2*A) = (0 - 4) / 4 = -1.</w:t>
        <w:br/>
        <w:t xml:space="preserve"> 🛑 Ошибка в оригинале: корни не равны -2 и 2. Это совершенно иные сущности. Подозреваю, их звали на собеседование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другую программу.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f. Печать сообщения:</w:t>
        <w:br/>
        <w:t xml:space="preserve">"X1 = 1.0, X2 = -1.0".</w:t>
        <w:br/>
        <w:t xml:space="preserve">(Исправлено согласно реальному результату вычислений.)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g. Задержка, управляемая пользователем — программа ожидает нажатия Enter.</w:t>
        <w:br/>
        <w:t xml:space="preserve">(Ничего страшного, просто кофе допить.)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h. Завершение сеанса работы программы.</w:t>
        <w:br/>
        <w:t xml:space="preserve"> *(Вежливо попрощалась и ушла в память.)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pBdr/>
        <w:spacing w:line="360" w:lineRule="auto"/>
        <w:ind w:right="0" w:firstLine="0" w:left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1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2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1 Char"/>
    <w:basedOn w:val="89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9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9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9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9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9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9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9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9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99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99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99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99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8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69">
    <w:name w:val="Subtle Emphasis"/>
    <w:basedOn w:val="8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Emphasis"/>
    <w:basedOn w:val="899"/>
    <w:uiPriority w:val="20"/>
    <w:qFormat/>
    <w:pPr>
      <w:pBdr/>
      <w:spacing/>
      <w:ind/>
    </w:pPr>
    <w:rPr>
      <w:i/>
      <w:iCs/>
    </w:rPr>
  </w:style>
  <w:style w:type="character" w:styleId="871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872">
    <w:name w:val="Subtle Reference"/>
    <w:basedOn w:val="8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3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4">
    <w:name w:val="Header"/>
    <w:basedOn w:val="898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Header Char"/>
    <w:basedOn w:val="899"/>
    <w:link w:val="874"/>
    <w:uiPriority w:val="99"/>
    <w:pPr>
      <w:pBdr/>
      <w:spacing/>
      <w:ind/>
    </w:pPr>
  </w:style>
  <w:style w:type="paragraph" w:styleId="876">
    <w:name w:val="Footer"/>
    <w:basedOn w:val="89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Footer Char"/>
    <w:basedOn w:val="899"/>
    <w:link w:val="876"/>
    <w:uiPriority w:val="99"/>
    <w:pPr>
      <w:pBdr/>
      <w:spacing/>
      <w:ind/>
    </w:pPr>
  </w:style>
  <w:style w:type="paragraph" w:styleId="878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89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899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8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table" w:styleId="902">
    <w:name w:val="Table Grid"/>
    <w:basedOn w:val="90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Placeholder Text"/>
    <w:basedOn w:val="899"/>
    <w:uiPriority w:val="99"/>
    <w:semiHidden/>
    <w:pPr>
      <w:pBdr/>
      <w:spacing/>
      <w:ind/>
    </w:pPr>
    <w:rPr>
      <w:color w:val="808080"/>
    </w:rPr>
  </w:style>
  <w:style w:type="paragraph" w:styleId="904">
    <w:name w:val="List Paragraph"/>
    <w:basedOn w:val="89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161</cp:revision>
  <dcterms:created xsi:type="dcterms:W3CDTF">2025-04-17T07:11:00Z</dcterms:created>
  <dcterms:modified xsi:type="dcterms:W3CDTF">2025-06-22T20:59:50Z</dcterms:modified>
</cp:coreProperties>
</file>