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646" w:rsidRDefault="00C12D91" w:rsidP="00C12D91">
      <w:pPr>
        <w:pStyle w:val="Title"/>
      </w:pPr>
      <w:proofErr w:type="spellStart"/>
      <w:r>
        <w:t>ComIf</w:t>
      </w:r>
      <w:proofErr w:type="spellEnd"/>
    </w:p>
    <w:p w:rsidR="00C12D91" w:rsidRDefault="00C12D91" w:rsidP="00C12D91">
      <w:pPr>
        <w:pStyle w:val="Subtitle"/>
      </w:pPr>
      <w:r>
        <w:t>Communication Interface Design</w:t>
      </w:r>
    </w:p>
    <w:p w:rsidR="00C12D91" w:rsidRDefault="00C12D91" w:rsidP="00C12D91">
      <w:pPr>
        <w:pStyle w:val="Heading1"/>
      </w:pPr>
      <w:r>
        <w:t>Frames</w:t>
      </w:r>
    </w:p>
    <w:p w:rsidR="00C12D91" w:rsidRDefault="00C12D91" w:rsidP="00C12D91"/>
    <w:p w:rsidR="00C12D91" w:rsidRPr="00C12D91" w:rsidRDefault="00C12D91" w:rsidP="00C12D91">
      <w:r>
        <w:t>To be updated.</w:t>
      </w:r>
    </w:p>
    <w:p w:rsidR="00C12D91" w:rsidRDefault="00C12D91" w:rsidP="00C12D91">
      <w:pPr>
        <w:pStyle w:val="Heading1"/>
      </w:pPr>
      <w:r>
        <w:t>Signals</w:t>
      </w:r>
    </w:p>
    <w:p w:rsidR="00C12D91" w:rsidRDefault="00C12D91" w:rsidP="00C12D91"/>
    <w:p w:rsidR="00C12D91" w:rsidRDefault="00C12D91" w:rsidP="00C12D91">
      <w:r>
        <w:t>Signals are just the representation of values (bits or bytes) within the frame payload.</w:t>
      </w:r>
    </w:p>
    <w:p w:rsidR="00C12D91" w:rsidRDefault="00C12D91" w:rsidP="00CF7289">
      <w:pPr>
        <w:jc w:val="center"/>
      </w:pPr>
      <w:r w:rsidRPr="00C12D91">
        <w:drawing>
          <wp:inline distT="0" distB="0" distL="0" distR="0" wp14:anchorId="6ACC57A4" wp14:editId="47E61B74">
            <wp:extent cx="5511420" cy="3183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629" t="8255" r="3423" b="2131"/>
                    <a:stretch/>
                  </pic:blipFill>
                  <pic:spPr bwMode="auto">
                    <a:xfrm>
                      <a:off x="0" y="0"/>
                      <a:ext cx="5512616" cy="3183838"/>
                    </a:xfrm>
                    <a:prstGeom prst="rect">
                      <a:avLst/>
                    </a:prstGeom>
                    <a:ln>
                      <a:noFill/>
                    </a:ln>
                    <a:extLst>
                      <a:ext uri="{53640926-AAD7-44D8-BBD7-CCE9431645EC}">
                        <a14:shadowObscured xmlns:a14="http://schemas.microsoft.com/office/drawing/2010/main"/>
                      </a:ext>
                    </a:extLst>
                  </pic:spPr>
                </pic:pic>
              </a:graphicData>
            </a:graphic>
          </wp:inline>
        </w:drawing>
      </w:r>
    </w:p>
    <w:p w:rsidR="00515D81" w:rsidRDefault="00406AD6" w:rsidP="00406AD6">
      <w:pPr>
        <w:pStyle w:val="Heading2"/>
      </w:pPr>
      <w:r>
        <w:t>Signal Properties</w:t>
      </w:r>
    </w:p>
    <w:p w:rsidR="005F1A70" w:rsidRDefault="005F1A70" w:rsidP="00406AD6"/>
    <w:p w:rsidR="005F1A70" w:rsidRDefault="005F1A70" w:rsidP="005F1A70">
      <w:pPr>
        <w:pStyle w:val="Heading3"/>
      </w:pPr>
      <w:r>
        <w:t>Name</w:t>
      </w:r>
    </w:p>
    <w:p w:rsidR="005F1A70" w:rsidRDefault="005F1A70" w:rsidP="005F1A70">
      <w:r>
        <w:t>Name of the Signal adhering to the C Variable naming convention. This is a mandatory parameter</w:t>
      </w:r>
    </w:p>
    <w:p w:rsidR="005F1A70" w:rsidRDefault="005F1A70" w:rsidP="005F1A70">
      <w:pPr>
        <w:pStyle w:val="Heading3"/>
      </w:pPr>
      <w:r>
        <w:t>Datatype &amp; Length</w:t>
      </w:r>
    </w:p>
    <w:p w:rsidR="005F1A70" w:rsidRDefault="005F1A70" w:rsidP="005F1A70">
      <w:r>
        <w:t>Signals</w:t>
      </w:r>
      <w:r>
        <w:t xml:space="preserve"> can range between 1 bit up-to the entire payload of the frame. However, the data type of the signals are confined to one of the below: </w:t>
      </w:r>
      <w:r w:rsidRPr="00C12D91">
        <w:rPr>
          <w:rFonts w:ascii="Consolas" w:hAnsi="Consolas"/>
          <w:sz w:val="18"/>
          <w:szCs w:val="18"/>
        </w:rPr>
        <w:t xml:space="preserve">int8, uint8, int16, uint16, int32, uint32, </w:t>
      </w:r>
      <w:proofErr w:type="gramStart"/>
      <w:r w:rsidRPr="00C12D91">
        <w:rPr>
          <w:rFonts w:ascii="Consolas" w:hAnsi="Consolas"/>
          <w:sz w:val="18"/>
          <w:szCs w:val="18"/>
        </w:rPr>
        <w:t>uint8[</w:t>
      </w:r>
      <w:proofErr w:type="gramEnd"/>
      <w:r w:rsidRPr="00C12D91">
        <w:rPr>
          <w:rFonts w:ascii="Consolas" w:hAnsi="Consolas"/>
          <w:sz w:val="18"/>
          <w:szCs w:val="18"/>
        </w:rPr>
        <w:t>]</w:t>
      </w:r>
      <w:r>
        <w:t>.</w:t>
      </w:r>
    </w:p>
    <w:p w:rsidR="005F1A70" w:rsidRDefault="005F1A70" w:rsidP="005F1A70">
      <w:pPr>
        <w:pStyle w:val="ListParagraph"/>
        <w:numPr>
          <w:ilvl w:val="0"/>
          <w:numId w:val="2"/>
        </w:numPr>
      </w:pPr>
      <w:r>
        <w:t xml:space="preserve">Any signal with any bit length shall </w:t>
      </w:r>
      <w:r>
        <w:t xml:space="preserve">select </w:t>
      </w:r>
      <w:r>
        <w:t xml:space="preserve">the </w:t>
      </w:r>
      <w:r>
        <w:t>next possible data type. Example: 1 to 8-bit signals shall choose int8/uint8, 9 to 16 bit signals shall choose int16/uint16, etc.</w:t>
      </w:r>
    </w:p>
    <w:p w:rsidR="005F1A70" w:rsidRDefault="005F1A70" w:rsidP="005F1A70">
      <w:pPr>
        <w:pStyle w:val="ListParagraph"/>
        <w:numPr>
          <w:ilvl w:val="0"/>
          <w:numId w:val="2"/>
        </w:numPr>
      </w:pPr>
      <w:r>
        <w:t>If the data length is less than the confined data type, t</w:t>
      </w:r>
      <w:r>
        <w:t xml:space="preserve">he masking of data will be handled in the </w:t>
      </w:r>
      <w:proofErr w:type="spellStart"/>
      <w:r>
        <w:t>ComIf</w:t>
      </w:r>
      <w:proofErr w:type="spellEnd"/>
      <w:r>
        <w:t xml:space="preserve"> code itself.</w:t>
      </w:r>
    </w:p>
    <w:p w:rsidR="005F1A70" w:rsidRDefault="005F1A70" w:rsidP="005F1A70">
      <w:pPr>
        <w:pStyle w:val="ListParagraph"/>
        <w:numPr>
          <w:ilvl w:val="0"/>
          <w:numId w:val="2"/>
        </w:numPr>
      </w:pPr>
      <w:r>
        <w:t xml:space="preserve">Any signal greater than 32 bits should be mentioned as </w:t>
      </w:r>
      <w:proofErr w:type="gramStart"/>
      <w:r>
        <w:t>uint8[</w:t>
      </w:r>
      <w:proofErr w:type="gramEnd"/>
      <w:r>
        <w:t>] array data type.</w:t>
      </w:r>
    </w:p>
    <w:p w:rsidR="007A30A8" w:rsidRDefault="007A30A8" w:rsidP="005F1A70">
      <w:pPr>
        <w:pStyle w:val="ListParagraph"/>
        <w:numPr>
          <w:ilvl w:val="0"/>
          <w:numId w:val="2"/>
        </w:numPr>
      </w:pPr>
      <w:r>
        <w:t>A signal with signed data type with length less than the confined data types, the most significant bit will be considered as the signed bit and conversion will to and fro will be handled. So, the data beyond the length – 1 bits will be masked out and if the value is –</w:t>
      </w:r>
      <w:proofErr w:type="spellStart"/>
      <w:r>
        <w:t>ve</w:t>
      </w:r>
      <w:proofErr w:type="spellEnd"/>
      <w:r>
        <w:t>, then the MSB bit will be set.</w:t>
      </w:r>
    </w:p>
    <w:p w:rsidR="005F1A70" w:rsidRDefault="005F1A70" w:rsidP="005F1A70">
      <w:r>
        <w:t xml:space="preserve">Length property differs based on Data Type selected. If the data type is singular, then this parameter is defined in bits. However, if the data type is </w:t>
      </w:r>
      <w:proofErr w:type="gramStart"/>
      <w:r>
        <w:t>uint8[</w:t>
      </w:r>
      <w:proofErr w:type="gramEnd"/>
      <w:r>
        <w:t>], then this parameter represents number of bytes in the payload.</w:t>
      </w:r>
    </w:p>
    <w:p w:rsidR="00361C11" w:rsidRDefault="00361C11" w:rsidP="00361C11">
      <w:pPr>
        <w:pStyle w:val="Heading3"/>
      </w:pPr>
      <w:r>
        <w:lastRenderedPageBreak/>
        <w:t>Start Bit</w:t>
      </w:r>
      <w:r w:rsidR="009C433C">
        <w:t xml:space="preserve"> Position</w:t>
      </w:r>
    </w:p>
    <w:p w:rsidR="00361C11" w:rsidRDefault="00361C11" w:rsidP="00361C11">
      <w:r>
        <w:t xml:space="preserve">Start bit of the signal in the Frame. Since </w:t>
      </w:r>
      <w:proofErr w:type="spellStart"/>
      <w:r>
        <w:t>ComIf</w:t>
      </w:r>
      <w:proofErr w:type="spellEnd"/>
      <w:r>
        <w:t xml:space="preserve"> is being used in serial communication protocols, it must be noted that the </w:t>
      </w:r>
      <w:proofErr w:type="spellStart"/>
      <w:r>
        <w:t>ComIf</w:t>
      </w:r>
      <w:proofErr w:type="spellEnd"/>
      <w:r>
        <w:t xml:space="preserve"> ONLY support Big Endian Bit-Endianness in the </w:t>
      </w:r>
      <w:proofErr w:type="spellStart"/>
      <w:r>
        <w:t>ComIf</w:t>
      </w:r>
      <w:proofErr w:type="spellEnd"/>
      <w:r>
        <w:t xml:space="preserve"> output serial data, which means the Most-Significant-Bits of the signals will be sent first as depic</w:t>
      </w:r>
      <w:r w:rsidR="009C433C">
        <w:t>ted in the image above.</w:t>
      </w:r>
    </w:p>
    <w:p w:rsidR="009C433C" w:rsidRDefault="009C433C" w:rsidP="00361C11">
      <w:r>
        <w:t>The start bit position is the position of the MSB of signal in the Message payload. For example: in the image above, the start bit position of Rx_NEW_Signal_2 is 7 and the start bit position of RX_New_Signal_1 is 23.</w:t>
      </w:r>
    </w:p>
    <w:p w:rsidR="009C433C" w:rsidRDefault="006C4FFE" w:rsidP="00361C11">
      <w:r>
        <w:t>So the signals in the serial data will be:</w:t>
      </w:r>
    </w:p>
    <w:tbl>
      <w:tblPr>
        <w:tblStyle w:val="TableGrid"/>
        <w:tblW w:w="0" w:type="auto"/>
        <w:tblLook w:val="04A0" w:firstRow="1" w:lastRow="0" w:firstColumn="1" w:lastColumn="0" w:noHBand="0" w:noVBand="1"/>
      </w:tblPr>
      <w:tblGrid>
        <w:gridCol w:w="217"/>
        <w:gridCol w:w="217"/>
        <w:gridCol w:w="217"/>
        <w:gridCol w:w="217"/>
        <w:gridCol w:w="217"/>
        <w:gridCol w:w="217"/>
        <w:gridCol w:w="217"/>
        <w:gridCol w:w="217"/>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tblGrid>
      <w:tr w:rsidR="00DC0A02" w:rsidTr="00AB76CB">
        <w:trPr>
          <w:trHeight w:val="324"/>
        </w:trPr>
        <w:tc>
          <w:tcPr>
            <w:tcW w:w="1736" w:type="dxa"/>
            <w:gridSpan w:val="8"/>
            <w:vAlign w:val="center"/>
          </w:tcPr>
          <w:p w:rsidR="00DC0A02" w:rsidRDefault="00DC0A02" w:rsidP="006C4FFE">
            <w:pPr>
              <w:jc w:val="center"/>
            </w:pPr>
            <w:r>
              <w:t>Byte 0</w:t>
            </w:r>
          </w:p>
        </w:tc>
        <w:tc>
          <w:tcPr>
            <w:tcW w:w="1744" w:type="dxa"/>
            <w:gridSpan w:val="8"/>
            <w:vAlign w:val="center"/>
          </w:tcPr>
          <w:p w:rsidR="00DC0A02" w:rsidRDefault="00DC0A02" w:rsidP="006C4FFE">
            <w:pPr>
              <w:jc w:val="center"/>
            </w:pPr>
            <w:r>
              <w:t>Byte 1</w:t>
            </w:r>
          </w:p>
        </w:tc>
        <w:tc>
          <w:tcPr>
            <w:tcW w:w="1744" w:type="dxa"/>
            <w:gridSpan w:val="8"/>
            <w:vAlign w:val="center"/>
          </w:tcPr>
          <w:p w:rsidR="00DC0A02" w:rsidRDefault="00DC0A02" w:rsidP="006C4FFE">
            <w:pPr>
              <w:jc w:val="center"/>
            </w:pPr>
            <w:r>
              <w:t>Byte 2</w:t>
            </w:r>
          </w:p>
        </w:tc>
        <w:tc>
          <w:tcPr>
            <w:tcW w:w="1744" w:type="dxa"/>
            <w:gridSpan w:val="8"/>
            <w:vAlign w:val="center"/>
          </w:tcPr>
          <w:p w:rsidR="00DC0A02" w:rsidRDefault="00DC0A02" w:rsidP="006C4FFE">
            <w:pPr>
              <w:jc w:val="center"/>
            </w:pPr>
            <w:r>
              <w:t>Byte 3</w:t>
            </w:r>
          </w:p>
        </w:tc>
        <w:tc>
          <w:tcPr>
            <w:tcW w:w="1744" w:type="dxa"/>
            <w:gridSpan w:val="8"/>
            <w:vAlign w:val="center"/>
          </w:tcPr>
          <w:p w:rsidR="00DC0A02" w:rsidRDefault="00DC0A02" w:rsidP="006C4FFE">
            <w:pPr>
              <w:jc w:val="center"/>
            </w:pPr>
            <w:r>
              <w:t>Byte 4</w:t>
            </w:r>
          </w:p>
        </w:tc>
        <w:tc>
          <w:tcPr>
            <w:tcW w:w="1744" w:type="dxa"/>
            <w:gridSpan w:val="8"/>
            <w:vAlign w:val="center"/>
          </w:tcPr>
          <w:p w:rsidR="00DC0A02" w:rsidRDefault="00DC0A02" w:rsidP="006C4FFE">
            <w:pPr>
              <w:jc w:val="center"/>
            </w:pPr>
            <w:r>
              <w:t>…</w:t>
            </w:r>
          </w:p>
        </w:tc>
      </w:tr>
      <w:tr w:rsidR="006C4FFE" w:rsidTr="00DC0A02">
        <w:trPr>
          <w:cantSplit/>
          <w:trHeight w:val="1134"/>
        </w:trPr>
        <w:tc>
          <w:tcPr>
            <w:tcW w:w="217" w:type="dxa"/>
            <w:shd w:val="clear" w:color="auto" w:fill="2E74B5" w:themeFill="accent1" w:themeFillShade="BF"/>
            <w:vAlign w:val="center"/>
          </w:tcPr>
          <w:p w:rsidR="006C4FFE" w:rsidRPr="00DC0A02" w:rsidRDefault="006C4FFE" w:rsidP="00DC0A02">
            <w:pPr>
              <w:jc w:val="center"/>
              <w:rPr>
                <w:sz w:val="16"/>
                <w:szCs w:val="16"/>
              </w:rPr>
            </w:pPr>
          </w:p>
        </w:tc>
        <w:tc>
          <w:tcPr>
            <w:tcW w:w="217" w:type="dxa"/>
            <w:shd w:val="clear" w:color="auto" w:fill="2E74B5" w:themeFill="accent1" w:themeFillShade="BF"/>
            <w:vAlign w:val="center"/>
          </w:tcPr>
          <w:p w:rsidR="006C4FFE" w:rsidRDefault="006C4FFE" w:rsidP="00DC0A02">
            <w:pPr>
              <w:jc w:val="center"/>
            </w:pPr>
          </w:p>
        </w:tc>
        <w:tc>
          <w:tcPr>
            <w:tcW w:w="217" w:type="dxa"/>
            <w:shd w:val="clear" w:color="auto" w:fill="2E74B5" w:themeFill="accent1" w:themeFillShade="BF"/>
            <w:vAlign w:val="center"/>
          </w:tcPr>
          <w:p w:rsidR="006C4FFE" w:rsidRDefault="006C4FFE" w:rsidP="00DC0A02">
            <w:pPr>
              <w:jc w:val="center"/>
            </w:pPr>
          </w:p>
        </w:tc>
        <w:tc>
          <w:tcPr>
            <w:tcW w:w="217" w:type="dxa"/>
            <w:shd w:val="clear" w:color="auto" w:fill="2E74B5" w:themeFill="accent1" w:themeFillShade="BF"/>
            <w:vAlign w:val="center"/>
          </w:tcPr>
          <w:p w:rsidR="006C4FFE" w:rsidRDefault="006C4FFE" w:rsidP="00DC0A02">
            <w:pPr>
              <w:jc w:val="center"/>
            </w:pPr>
          </w:p>
        </w:tc>
        <w:tc>
          <w:tcPr>
            <w:tcW w:w="217" w:type="dxa"/>
            <w:shd w:val="clear" w:color="auto" w:fill="2E74B5" w:themeFill="accent1" w:themeFillShade="BF"/>
            <w:vAlign w:val="center"/>
          </w:tcPr>
          <w:p w:rsidR="006C4FFE" w:rsidRDefault="006C4FFE" w:rsidP="00DC0A02">
            <w:pPr>
              <w:jc w:val="center"/>
            </w:pPr>
          </w:p>
        </w:tc>
        <w:tc>
          <w:tcPr>
            <w:tcW w:w="217" w:type="dxa"/>
            <w:shd w:val="clear" w:color="auto" w:fill="2E74B5" w:themeFill="accent1" w:themeFillShade="BF"/>
            <w:vAlign w:val="center"/>
          </w:tcPr>
          <w:p w:rsidR="006C4FFE" w:rsidRDefault="006C4FFE" w:rsidP="00DC0A02">
            <w:pPr>
              <w:jc w:val="center"/>
            </w:pPr>
          </w:p>
        </w:tc>
        <w:tc>
          <w:tcPr>
            <w:tcW w:w="217" w:type="dxa"/>
            <w:shd w:val="clear" w:color="auto" w:fill="2E74B5" w:themeFill="accent1" w:themeFillShade="BF"/>
            <w:vAlign w:val="center"/>
          </w:tcPr>
          <w:p w:rsidR="006C4FFE" w:rsidRDefault="006C4FFE" w:rsidP="00DC0A02">
            <w:pPr>
              <w:jc w:val="center"/>
            </w:pPr>
          </w:p>
        </w:tc>
        <w:tc>
          <w:tcPr>
            <w:tcW w:w="217" w:type="dxa"/>
            <w:shd w:val="clear" w:color="auto" w:fill="2E74B5" w:themeFill="accent1" w:themeFillShade="BF"/>
            <w:vAlign w:val="center"/>
          </w:tcPr>
          <w:p w:rsidR="006C4FFE" w:rsidRDefault="006C4FFE" w:rsidP="00DC0A02">
            <w:pPr>
              <w:jc w:val="center"/>
            </w:pPr>
          </w:p>
        </w:tc>
        <w:tc>
          <w:tcPr>
            <w:tcW w:w="218" w:type="dxa"/>
            <w:shd w:val="clear" w:color="auto" w:fill="2E74B5" w:themeFill="accent1" w:themeFillShade="BF"/>
            <w:vAlign w:val="center"/>
          </w:tcPr>
          <w:p w:rsidR="006C4FFE" w:rsidRDefault="006C4FFE" w:rsidP="00DC0A02">
            <w:pPr>
              <w:jc w:val="center"/>
            </w:pPr>
          </w:p>
        </w:tc>
        <w:tc>
          <w:tcPr>
            <w:tcW w:w="218" w:type="dxa"/>
            <w:shd w:val="clear" w:color="auto" w:fill="2E74B5" w:themeFill="accent1" w:themeFillShade="BF"/>
            <w:vAlign w:val="center"/>
          </w:tcPr>
          <w:p w:rsidR="006C4FFE" w:rsidRDefault="006C4FFE" w:rsidP="00DC0A02">
            <w:pPr>
              <w:jc w:val="center"/>
            </w:pPr>
          </w:p>
        </w:tc>
        <w:tc>
          <w:tcPr>
            <w:tcW w:w="218" w:type="dxa"/>
            <w:shd w:val="clear" w:color="auto" w:fill="2E74B5" w:themeFill="accent1" w:themeFillShade="BF"/>
            <w:vAlign w:val="center"/>
          </w:tcPr>
          <w:p w:rsidR="006C4FFE" w:rsidRDefault="006C4FFE" w:rsidP="00DC0A02">
            <w:pPr>
              <w:jc w:val="center"/>
            </w:pPr>
          </w:p>
        </w:tc>
        <w:tc>
          <w:tcPr>
            <w:tcW w:w="218" w:type="dxa"/>
            <w:shd w:val="clear" w:color="auto" w:fill="2E74B5" w:themeFill="accent1" w:themeFillShade="BF"/>
            <w:vAlign w:val="center"/>
          </w:tcPr>
          <w:p w:rsidR="006C4FFE" w:rsidRDefault="006C4FFE" w:rsidP="00DC0A02">
            <w:pPr>
              <w:jc w:val="center"/>
            </w:pPr>
          </w:p>
        </w:tc>
        <w:tc>
          <w:tcPr>
            <w:tcW w:w="218" w:type="dxa"/>
            <w:shd w:val="clear" w:color="auto" w:fill="2E74B5" w:themeFill="accent1" w:themeFillShade="BF"/>
            <w:vAlign w:val="center"/>
          </w:tcPr>
          <w:p w:rsidR="006C4FFE" w:rsidRDefault="006C4FFE" w:rsidP="00DC0A02">
            <w:pPr>
              <w:jc w:val="center"/>
            </w:pPr>
          </w:p>
        </w:tc>
        <w:tc>
          <w:tcPr>
            <w:tcW w:w="218" w:type="dxa"/>
            <w:shd w:val="clear" w:color="auto" w:fill="2E74B5" w:themeFill="accent1" w:themeFillShade="BF"/>
            <w:vAlign w:val="center"/>
          </w:tcPr>
          <w:p w:rsidR="006C4FFE" w:rsidRDefault="006C4FFE" w:rsidP="00DC0A02">
            <w:pPr>
              <w:jc w:val="center"/>
            </w:pPr>
          </w:p>
        </w:tc>
        <w:tc>
          <w:tcPr>
            <w:tcW w:w="218" w:type="dxa"/>
            <w:shd w:val="clear" w:color="auto" w:fill="2E74B5" w:themeFill="accent1" w:themeFillShade="BF"/>
            <w:vAlign w:val="center"/>
          </w:tcPr>
          <w:p w:rsidR="006C4FFE" w:rsidRDefault="006C4FFE" w:rsidP="00DC0A02">
            <w:pPr>
              <w:jc w:val="center"/>
            </w:pPr>
          </w:p>
        </w:tc>
        <w:tc>
          <w:tcPr>
            <w:tcW w:w="218" w:type="dxa"/>
            <w:shd w:val="clear" w:color="auto" w:fill="2E74B5" w:themeFill="accent1" w:themeFillShade="BF"/>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shd w:val="clear" w:color="auto" w:fill="FFD966" w:themeFill="accent4" w:themeFillTint="99"/>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c>
          <w:tcPr>
            <w:tcW w:w="218" w:type="dxa"/>
            <w:vAlign w:val="center"/>
          </w:tcPr>
          <w:p w:rsidR="006C4FFE" w:rsidRDefault="006C4FFE" w:rsidP="00DC0A02">
            <w:pPr>
              <w:jc w:val="center"/>
            </w:pPr>
          </w:p>
        </w:tc>
      </w:tr>
      <w:tr w:rsidR="00DC0A02" w:rsidTr="007C4A6A">
        <w:trPr>
          <w:cantSplit/>
          <w:trHeight w:val="402"/>
        </w:trPr>
        <w:tc>
          <w:tcPr>
            <w:tcW w:w="3480" w:type="dxa"/>
            <w:gridSpan w:val="16"/>
            <w:shd w:val="clear" w:color="auto" w:fill="2E74B5" w:themeFill="accent1" w:themeFillShade="BF"/>
            <w:vAlign w:val="center"/>
          </w:tcPr>
          <w:p w:rsidR="00DC0A02" w:rsidRDefault="00DC0A02" w:rsidP="00DC0A02">
            <w:pPr>
              <w:jc w:val="center"/>
            </w:pPr>
            <w:r>
              <w:t>RX_NEW_Signal_2</w:t>
            </w:r>
          </w:p>
        </w:tc>
        <w:tc>
          <w:tcPr>
            <w:tcW w:w="2180" w:type="dxa"/>
            <w:gridSpan w:val="10"/>
            <w:shd w:val="clear" w:color="auto" w:fill="FFD966" w:themeFill="accent4" w:themeFillTint="99"/>
            <w:vAlign w:val="center"/>
          </w:tcPr>
          <w:p w:rsidR="00DC0A02" w:rsidRDefault="00DC0A02" w:rsidP="00DC0A02">
            <w:pPr>
              <w:jc w:val="center"/>
            </w:pPr>
            <w:r>
              <w:t>RX_New_Signal_1</w:t>
            </w: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c>
          <w:tcPr>
            <w:tcW w:w="218" w:type="dxa"/>
            <w:vAlign w:val="center"/>
          </w:tcPr>
          <w:p w:rsidR="00DC0A02" w:rsidRDefault="00DC0A02" w:rsidP="00DC0A02">
            <w:pPr>
              <w:jc w:val="center"/>
            </w:pPr>
          </w:p>
        </w:tc>
      </w:tr>
    </w:tbl>
    <w:p w:rsidR="006C4FFE" w:rsidRPr="00361C11" w:rsidRDefault="006C4FFE" w:rsidP="00361C11"/>
    <w:p w:rsidR="005F1A70" w:rsidRDefault="00EC4C87" w:rsidP="00EC4C87">
      <w:pPr>
        <w:pStyle w:val="Heading3"/>
      </w:pPr>
      <w:r>
        <w:t>Endianness</w:t>
      </w:r>
    </w:p>
    <w:p w:rsidR="00EC4C87" w:rsidRDefault="00EC4C87" w:rsidP="00EC4C87">
      <w:r>
        <w:t xml:space="preserve">This is applicable for </w:t>
      </w:r>
      <w:r w:rsidR="00CD5282">
        <w:t>data conversion from the serial input to the global variable representation in the software code.</w:t>
      </w:r>
    </w:p>
    <w:p w:rsidR="00CD5282" w:rsidRDefault="00CD5282" w:rsidP="00EC4C87">
      <w:r>
        <w:t>The parameter shall either be Big-Endian or Little-Endian. The difference is depicted below:</w:t>
      </w:r>
    </w:p>
    <w:p w:rsidR="00CD5282" w:rsidRDefault="00CD5282" w:rsidP="00CD5282">
      <w:pPr>
        <w:jc w:val="center"/>
      </w:pPr>
      <w:r>
        <w:rPr>
          <w:noProof/>
          <w:lang w:eastAsia="en-IN"/>
        </w:rPr>
        <w:drawing>
          <wp:inline distT="0" distB="0" distL="0" distR="0">
            <wp:extent cx="3036339" cy="2708695"/>
            <wp:effectExtent l="0" t="0" r="0" b="0"/>
            <wp:docPr id="2" name="Picture 2" descr="https://upload.wikimedia.org/wikipedia/commons/thumb/5/54/Big-Endian.svg/1024px-Big-Endi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4/Big-Endian.svg/1024px-Big-Endian.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5974" cy="2735132"/>
                    </a:xfrm>
                    <a:prstGeom prst="rect">
                      <a:avLst/>
                    </a:prstGeom>
                    <a:noFill/>
                    <a:ln>
                      <a:noFill/>
                    </a:ln>
                  </pic:spPr>
                </pic:pic>
              </a:graphicData>
            </a:graphic>
          </wp:inline>
        </w:drawing>
      </w:r>
      <w:r>
        <w:rPr>
          <w:noProof/>
          <w:lang w:eastAsia="en-IN"/>
        </w:rPr>
        <w:drawing>
          <wp:inline distT="0" distB="0" distL="0" distR="0">
            <wp:extent cx="3045539" cy="2716902"/>
            <wp:effectExtent l="0" t="0" r="0" b="0"/>
            <wp:docPr id="3" name="Picture 3" descr="https://upload.wikimedia.org/wikipedia/commons/thumb/e/ed/Little-Endian.svg/1024px-Little-Endi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d/Little-Endian.svg/1024px-Little-Endian.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2808" cy="2750150"/>
                    </a:xfrm>
                    <a:prstGeom prst="rect">
                      <a:avLst/>
                    </a:prstGeom>
                    <a:noFill/>
                    <a:ln>
                      <a:noFill/>
                    </a:ln>
                  </pic:spPr>
                </pic:pic>
              </a:graphicData>
            </a:graphic>
          </wp:inline>
        </w:drawing>
      </w:r>
    </w:p>
    <w:p w:rsidR="00CD5282" w:rsidRDefault="00597697" w:rsidP="008B37FB">
      <w:pPr>
        <w:jc w:val="both"/>
      </w:pPr>
      <w:r>
        <w:t xml:space="preserve">Since the message data is always in </w:t>
      </w:r>
      <w:proofErr w:type="gramStart"/>
      <w:r>
        <w:t>Big</w:t>
      </w:r>
      <w:proofErr w:type="gramEnd"/>
      <w:r>
        <w:t xml:space="preserve"> endian format, this shall be represented based on the system which this information is processed, like the micro-controller or compiler etc.</w:t>
      </w:r>
    </w:p>
    <w:p w:rsidR="008B37FB" w:rsidRDefault="008B37FB" w:rsidP="008B37FB">
      <w:pPr>
        <w:jc w:val="both"/>
      </w:pPr>
      <w:r>
        <w:t xml:space="preserve">Since there are multiple data types being handled in the </w:t>
      </w:r>
      <w:proofErr w:type="spellStart"/>
      <w:r>
        <w:t>ComIf</w:t>
      </w:r>
      <w:proofErr w:type="spellEnd"/>
      <w:r>
        <w:t xml:space="preserve"> signals, the APIs for transmit or receive the signals will contain the void pointer data type only. So, this parameter plays a significant role in representing the data and vice versa.</w:t>
      </w:r>
    </w:p>
    <w:p w:rsidR="005F1A70" w:rsidRDefault="008B37FB" w:rsidP="00241C46">
      <w:pPr>
        <w:jc w:val="both"/>
      </w:pPr>
      <w:r>
        <w:t>If the signal is configured as Big-Endian, then the content in the pointer will be considered as MSB byte, content in the pointer + 1 is considered as the next byte and so on up-to LSB. If the signal is configured as Little-Endian, then vice-versa.</w:t>
      </w:r>
    </w:p>
    <w:p w:rsidR="00241C46" w:rsidRDefault="00FF3C76" w:rsidP="00241C46">
      <w:pPr>
        <w:pStyle w:val="Heading3"/>
      </w:pPr>
      <w:proofErr w:type="spellStart"/>
      <w:proofErr w:type="gramStart"/>
      <w:r>
        <w:t>Tx</w:t>
      </w:r>
      <w:proofErr w:type="spellEnd"/>
      <w:proofErr w:type="gramEnd"/>
      <w:r>
        <w:t xml:space="preserve"> </w:t>
      </w:r>
      <w:r w:rsidR="00241C46">
        <w:t>Transfer Property</w:t>
      </w:r>
    </w:p>
    <w:p w:rsidR="00241C46" w:rsidRDefault="00FF3C76" w:rsidP="00241C46">
      <w:proofErr w:type="spellStart"/>
      <w:r>
        <w:t>Tx</w:t>
      </w:r>
      <w:proofErr w:type="spellEnd"/>
      <w:r>
        <w:t xml:space="preserve"> </w:t>
      </w:r>
      <w:r w:rsidR="00241C46">
        <w:t>Transfer property is used to trigger the transmission when the signal is updated. Below are the possible values:</w:t>
      </w:r>
    </w:p>
    <w:tbl>
      <w:tblPr>
        <w:tblStyle w:val="GridTable1Light"/>
        <w:tblW w:w="0" w:type="auto"/>
        <w:tblLook w:val="04A0" w:firstRow="1" w:lastRow="0" w:firstColumn="1" w:lastColumn="0" w:noHBand="0" w:noVBand="1"/>
      </w:tblPr>
      <w:tblGrid>
        <w:gridCol w:w="2405"/>
        <w:gridCol w:w="8051"/>
      </w:tblGrid>
      <w:tr w:rsidR="00241C46" w:rsidTr="0024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41C46" w:rsidRDefault="00241C46" w:rsidP="00241C46">
            <w:r>
              <w:t>Values</w:t>
            </w:r>
          </w:p>
        </w:tc>
        <w:tc>
          <w:tcPr>
            <w:tcW w:w="8051" w:type="dxa"/>
          </w:tcPr>
          <w:p w:rsidR="00241C46" w:rsidRDefault="00241C46" w:rsidP="00241C46">
            <w:pPr>
              <w:cnfStyle w:val="100000000000" w:firstRow="1" w:lastRow="0" w:firstColumn="0" w:lastColumn="0" w:oddVBand="0" w:evenVBand="0" w:oddHBand="0" w:evenHBand="0" w:firstRowFirstColumn="0" w:firstRowLastColumn="0" w:lastRowFirstColumn="0" w:lastRowLastColumn="0"/>
            </w:pPr>
            <w:r>
              <w:t>Comment</w:t>
            </w:r>
          </w:p>
        </w:tc>
      </w:tr>
      <w:tr w:rsidR="00241C46" w:rsidTr="00241C46">
        <w:tc>
          <w:tcPr>
            <w:cnfStyle w:val="001000000000" w:firstRow="0" w:lastRow="0" w:firstColumn="1" w:lastColumn="0" w:oddVBand="0" w:evenVBand="0" w:oddHBand="0" w:evenHBand="0" w:firstRowFirstColumn="0" w:firstRowLastColumn="0" w:lastRowFirstColumn="0" w:lastRowLastColumn="0"/>
            <w:tcW w:w="2405" w:type="dxa"/>
          </w:tcPr>
          <w:p w:rsidR="00241C46" w:rsidRDefault="00241C46" w:rsidP="00241C46">
            <w:r>
              <w:t>None</w:t>
            </w:r>
          </w:p>
        </w:tc>
        <w:tc>
          <w:tcPr>
            <w:tcW w:w="8051" w:type="dxa"/>
          </w:tcPr>
          <w:p w:rsidR="00241C46" w:rsidRDefault="00241C46" w:rsidP="00241C46">
            <w:pPr>
              <w:cnfStyle w:val="000000000000" w:firstRow="0" w:lastRow="0" w:firstColumn="0" w:lastColumn="0" w:oddVBand="0" w:evenVBand="0" w:oddHBand="0" w:evenHBand="0" w:firstRowFirstColumn="0" w:firstRowLastColumn="0" w:lastRowFirstColumn="0" w:lastRowLastColumn="0"/>
            </w:pPr>
            <w:r>
              <w:t>Does nothing</w:t>
            </w:r>
          </w:p>
        </w:tc>
      </w:tr>
      <w:tr w:rsidR="00241C46" w:rsidTr="00241C46">
        <w:tc>
          <w:tcPr>
            <w:cnfStyle w:val="001000000000" w:firstRow="0" w:lastRow="0" w:firstColumn="1" w:lastColumn="0" w:oddVBand="0" w:evenVBand="0" w:oddHBand="0" w:evenHBand="0" w:firstRowFirstColumn="0" w:firstRowLastColumn="0" w:lastRowFirstColumn="0" w:lastRowLastColumn="0"/>
            <w:tcW w:w="2405" w:type="dxa"/>
          </w:tcPr>
          <w:p w:rsidR="00241C46" w:rsidRDefault="00241C46" w:rsidP="00241C46">
            <w:proofErr w:type="spellStart"/>
            <w:r>
              <w:t>OnChange</w:t>
            </w:r>
            <w:proofErr w:type="spellEnd"/>
          </w:p>
        </w:tc>
        <w:tc>
          <w:tcPr>
            <w:tcW w:w="8051" w:type="dxa"/>
          </w:tcPr>
          <w:p w:rsidR="00241C46" w:rsidRDefault="00241C46" w:rsidP="00241C46">
            <w:pPr>
              <w:cnfStyle w:val="000000000000" w:firstRow="0" w:lastRow="0" w:firstColumn="0" w:lastColumn="0" w:oddVBand="0" w:evenVBand="0" w:oddHBand="0" w:evenHBand="0" w:firstRowFirstColumn="0" w:firstRowLastColumn="0" w:lastRowFirstColumn="0" w:lastRowLastColumn="0"/>
            </w:pPr>
            <w:r>
              <w:t>Triggers the transmission of the frame on value change</w:t>
            </w:r>
          </w:p>
        </w:tc>
      </w:tr>
      <w:tr w:rsidR="00241C46" w:rsidTr="00241C46">
        <w:tc>
          <w:tcPr>
            <w:cnfStyle w:val="001000000000" w:firstRow="0" w:lastRow="0" w:firstColumn="1" w:lastColumn="0" w:oddVBand="0" w:evenVBand="0" w:oddHBand="0" w:evenHBand="0" w:firstRowFirstColumn="0" w:firstRowLastColumn="0" w:lastRowFirstColumn="0" w:lastRowLastColumn="0"/>
            <w:tcW w:w="2405" w:type="dxa"/>
          </w:tcPr>
          <w:p w:rsidR="00241C46" w:rsidRDefault="00241C46" w:rsidP="00241C46">
            <w:proofErr w:type="spellStart"/>
            <w:r>
              <w:t>OnUpdate</w:t>
            </w:r>
            <w:proofErr w:type="spellEnd"/>
          </w:p>
        </w:tc>
        <w:tc>
          <w:tcPr>
            <w:tcW w:w="8051" w:type="dxa"/>
          </w:tcPr>
          <w:p w:rsidR="00241C46" w:rsidRDefault="00241C46" w:rsidP="00241C46">
            <w:pPr>
              <w:cnfStyle w:val="000000000000" w:firstRow="0" w:lastRow="0" w:firstColumn="0" w:lastColumn="0" w:oddVBand="0" w:evenVBand="0" w:oddHBand="0" w:evenHBand="0" w:firstRowFirstColumn="0" w:firstRowLastColumn="0" w:lastRowFirstColumn="0" w:lastRowLastColumn="0"/>
            </w:pPr>
            <w:r>
              <w:t>Triggers the transmission of the frame on every time the signal is being called</w:t>
            </w:r>
          </w:p>
        </w:tc>
      </w:tr>
    </w:tbl>
    <w:p w:rsidR="00241C46" w:rsidRPr="00241C46" w:rsidRDefault="00241C46" w:rsidP="00241C46"/>
    <w:p w:rsidR="005F1A70" w:rsidRDefault="00FF3C76" w:rsidP="00FF3C76">
      <w:pPr>
        <w:pStyle w:val="Heading3"/>
      </w:pPr>
      <w:r>
        <w:t>Rx Notification</w:t>
      </w:r>
    </w:p>
    <w:p w:rsidR="00FF3C76" w:rsidRPr="00FF3C76" w:rsidRDefault="00FF3C76" w:rsidP="00FF3C76">
      <w:r>
        <w:t>Rx Notification Call-</w:t>
      </w:r>
      <w:r w:rsidR="00111965">
        <w:t>back function which will be called when the new signal is received.</w:t>
      </w:r>
      <w:bookmarkStart w:id="0" w:name="_GoBack"/>
      <w:bookmarkEnd w:id="0"/>
    </w:p>
    <w:sectPr w:rsidR="00FF3C76" w:rsidRPr="00FF3C76" w:rsidSect="00C12D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C0345"/>
    <w:multiLevelType w:val="hybridMultilevel"/>
    <w:tmpl w:val="E4E49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C30392"/>
    <w:multiLevelType w:val="hybridMultilevel"/>
    <w:tmpl w:val="DE10A3E8"/>
    <w:lvl w:ilvl="0" w:tplc="EF02C3F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EC"/>
    <w:rsid w:val="00034C4D"/>
    <w:rsid w:val="00037B8B"/>
    <w:rsid w:val="000B2794"/>
    <w:rsid w:val="00111965"/>
    <w:rsid w:val="001A0646"/>
    <w:rsid w:val="00241C46"/>
    <w:rsid w:val="00260F49"/>
    <w:rsid w:val="00361C11"/>
    <w:rsid w:val="00406AD6"/>
    <w:rsid w:val="00515D81"/>
    <w:rsid w:val="00597697"/>
    <w:rsid w:val="005F1A70"/>
    <w:rsid w:val="00656BDA"/>
    <w:rsid w:val="006C4FFE"/>
    <w:rsid w:val="007A30A8"/>
    <w:rsid w:val="007C4A6A"/>
    <w:rsid w:val="008B37FB"/>
    <w:rsid w:val="009C433C"/>
    <w:rsid w:val="009E0E01"/>
    <w:rsid w:val="00A508B9"/>
    <w:rsid w:val="00C12D91"/>
    <w:rsid w:val="00CD5282"/>
    <w:rsid w:val="00CF7289"/>
    <w:rsid w:val="00DC0A02"/>
    <w:rsid w:val="00EC4C87"/>
    <w:rsid w:val="00FF2AEC"/>
    <w:rsid w:val="00FF3C7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F346"/>
  <w15:chartTrackingRefBased/>
  <w15:docId w15:val="{B780E766-1E15-4E6D-B470-63C88FD2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IN" w:eastAsia="en-US" w:bidi="ta-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8B9"/>
  </w:style>
  <w:style w:type="paragraph" w:styleId="Heading1">
    <w:name w:val="heading 1"/>
    <w:basedOn w:val="Normal"/>
    <w:next w:val="Normal"/>
    <w:link w:val="Heading1Char"/>
    <w:uiPriority w:val="9"/>
    <w:qFormat/>
    <w:rsid w:val="00A508B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508B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508B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508B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508B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508B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508B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508B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508B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8B9"/>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508B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508B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508B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508B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508B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508B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508B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508B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508B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508B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508B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508B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508B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508B9"/>
    <w:rPr>
      <w:b/>
      <w:bCs/>
    </w:rPr>
  </w:style>
  <w:style w:type="character" w:styleId="Emphasis">
    <w:name w:val="Emphasis"/>
    <w:basedOn w:val="DefaultParagraphFont"/>
    <w:uiPriority w:val="20"/>
    <w:qFormat/>
    <w:rsid w:val="00A508B9"/>
    <w:rPr>
      <w:i/>
      <w:iCs/>
    </w:rPr>
  </w:style>
  <w:style w:type="paragraph" w:styleId="NoSpacing">
    <w:name w:val="No Spacing"/>
    <w:uiPriority w:val="1"/>
    <w:qFormat/>
    <w:rsid w:val="00A508B9"/>
    <w:pPr>
      <w:spacing w:after="0" w:line="240" w:lineRule="auto"/>
    </w:pPr>
  </w:style>
  <w:style w:type="paragraph" w:styleId="Quote">
    <w:name w:val="Quote"/>
    <w:basedOn w:val="Normal"/>
    <w:next w:val="Normal"/>
    <w:link w:val="QuoteChar"/>
    <w:uiPriority w:val="29"/>
    <w:qFormat/>
    <w:rsid w:val="00A508B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508B9"/>
    <w:rPr>
      <w:i/>
      <w:iCs/>
    </w:rPr>
  </w:style>
  <w:style w:type="paragraph" w:styleId="IntenseQuote">
    <w:name w:val="Intense Quote"/>
    <w:basedOn w:val="Normal"/>
    <w:next w:val="Normal"/>
    <w:link w:val="IntenseQuoteChar"/>
    <w:uiPriority w:val="30"/>
    <w:qFormat/>
    <w:rsid w:val="00A508B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508B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508B9"/>
    <w:rPr>
      <w:i/>
      <w:iCs/>
      <w:color w:val="595959" w:themeColor="text1" w:themeTint="A6"/>
    </w:rPr>
  </w:style>
  <w:style w:type="character" w:styleId="IntenseEmphasis">
    <w:name w:val="Intense Emphasis"/>
    <w:basedOn w:val="DefaultParagraphFont"/>
    <w:uiPriority w:val="21"/>
    <w:qFormat/>
    <w:rsid w:val="00A508B9"/>
    <w:rPr>
      <w:b/>
      <w:bCs/>
      <w:i/>
      <w:iCs/>
    </w:rPr>
  </w:style>
  <w:style w:type="character" w:styleId="SubtleReference">
    <w:name w:val="Subtle Reference"/>
    <w:basedOn w:val="DefaultParagraphFont"/>
    <w:uiPriority w:val="31"/>
    <w:qFormat/>
    <w:rsid w:val="00A508B9"/>
    <w:rPr>
      <w:smallCaps/>
      <w:color w:val="404040" w:themeColor="text1" w:themeTint="BF"/>
    </w:rPr>
  </w:style>
  <w:style w:type="character" w:styleId="IntenseReference">
    <w:name w:val="Intense Reference"/>
    <w:basedOn w:val="DefaultParagraphFont"/>
    <w:uiPriority w:val="32"/>
    <w:qFormat/>
    <w:rsid w:val="00A508B9"/>
    <w:rPr>
      <w:b/>
      <w:bCs/>
      <w:smallCaps/>
      <w:u w:val="single"/>
    </w:rPr>
  </w:style>
  <w:style w:type="character" w:styleId="BookTitle">
    <w:name w:val="Book Title"/>
    <w:basedOn w:val="DefaultParagraphFont"/>
    <w:uiPriority w:val="33"/>
    <w:qFormat/>
    <w:rsid w:val="00A508B9"/>
    <w:rPr>
      <w:b/>
      <w:bCs/>
      <w:smallCaps/>
    </w:rPr>
  </w:style>
  <w:style w:type="paragraph" w:styleId="TOCHeading">
    <w:name w:val="TOC Heading"/>
    <w:basedOn w:val="Heading1"/>
    <w:next w:val="Normal"/>
    <w:uiPriority w:val="39"/>
    <w:semiHidden/>
    <w:unhideWhenUsed/>
    <w:qFormat/>
    <w:rsid w:val="00A508B9"/>
    <w:pPr>
      <w:outlineLvl w:val="9"/>
    </w:pPr>
  </w:style>
  <w:style w:type="paragraph" w:styleId="ListParagraph">
    <w:name w:val="List Paragraph"/>
    <w:basedOn w:val="Normal"/>
    <w:uiPriority w:val="34"/>
    <w:qFormat/>
    <w:rsid w:val="00C12D91"/>
    <w:pPr>
      <w:ind w:left="720"/>
      <w:contextualSpacing/>
    </w:pPr>
  </w:style>
  <w:style w:type="table" w:styleId="TableGrid">
    <w:name w:val="Table Grid"/>
    <w:basedOn w:val="TableNormal"/>
    <w:uiPriority w:val="39"/>
    <w:rsid w:val="006C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41C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60</cp:revision>
  <dcterms:created xsi:type="dcterms:W3CDTF">2023-02-07T15:35:00Z</dcterms:created>
  <dcterms:modified xsi:type="dcterms:W3CDTF">2023-02-07T17:21:00Z</dcterms:modified>
</cp:coreProperties>
</file>