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C57"/>
          <w:sz w:val="28"/>
        </w:rPr>
        <w:t>GOVERNMENT OF ANDHRA PRADESH</w:t>
        <w:br/>
      </w:r>
      <w:r>
        <w:rPr>
          <w:b/>
          <w:color w:val="1E293B"/>
          <w:sz w:val="24"/>
        </w:rPr>
        <w:t>PHMED-SE PHMED RAJAHMUNDRY</w:t>
        <w:br/>
      </w:r>
      <w:r>
        <w:rPr>
          <w:color w:val="64748B"/>
          <w:sz w:val="20"/>
        </w:rPr>
        <w:t>STATE e-PROCUREMENT TENDER DOCUMENTATION</w:t>
        <w:br/>
      </w:r>
    </w:p>
    <w:p>
      <w:pPr>
        <w:jc w:val="center"/>
      </w:pPr>
      <w:r>
        <w:t>―――――――――――――――――――――――――――――――――――――――――――――</w:t>
      </w:r>
    </w:p>
    <w:p>
      <w:pPr>
        <w:jc w:val="center"/>
      </w:pPr>
      <w:r>
        <w:rPr>
          <w:b/>
          <w:color w:val="0F172A"/>
          <w:sz w:val="26"/>
        </w:rPr>
        <w:t>VOLUME I: REQUEST FOR PROPOSAL (RFP) &amp;</w:t>
        <w:br/>
        <w:t>TECHNICAL SPECIFICATION SCHEDULE</w:t>
        <w:br/>
        <w:br/>
        <w:t>Ref No: 999166</w:t>
        <w:br/>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9"/>
              </w:rPr>
              <w:t>Tender Notice / IFB Reference</w:t>
            </w:r>
          </w:p>
        </w:tc>
        <w:tc>
          <w:tcPr>
            <w:tcW w:type="dxa" w:w="4320"/>
          </w:tcPr>
          <w:p>
            <w:r>
              <w:rPr>
                <w:sz w:val="19"/>
              </w:rPr>
              <w:t>999166</w:t>
            </w:r>
          </w:p>
        </w:tc>
      </w:tr>
      <w:tr>
        <w:tc>
          <w:tcPr>
            <w:tcW w:type="dxa" w:w="4320"/>
          </w:tcPr>
          <w:p>
            <w:r>
              <w:rPr>
                <w:b/>
                <w:sz w:val="19"/>
              </w:rPr>
              <w:t>Name of Work / Project Title</w:t>
            </w:r>
          </w:p>
        </w:tc>
        <w:tc>
          <w:tcPr>
            <w:tcW w:type="dxa" w:w="4320"/>
          </w:tcPr>
          <w:p>
            <w:r>
              <w:rPr>
                <w:sz w:val="19"/>
              </w:rPr>
              <w:t>Public Health Rajamahendravaram Circel - Hybrid Annunity Model (HAM) - Providing Rivefront, Heritage, Streetscape, Recreation and Civic Infrastructure Development Works under HAM for Godavari Pushkaralu 2027 in Rajamahendravaram Municipal Corporation - RJY- Package - V</w:t>
            </w:r>
          </w:p>
        </w:tc>
      </w:tr>
      <w:tr>
        <w:tc>
          <w:tcPr>
            <w:tcW w:type="dxa" w:w="4320"/>
          </w:tcPr>
          <w:p>
            <w:r>
              <w:rPr>
                <w:b/>
                <w:sz w:val="19"/>
              </w:rPr>
              <w:t>Procuring Department / Authority</w:t>
            </w:r>
          </w:p>
        </w:tc>
        <w:tc>
          <w:tcPr>
            <w:tcW w:type="dxa" w:w="4320"/>
          </w:tcPr>
          <w:p>
            <w:r>
              <w:rPr>
                <w:sz w:val="19"/>
              </w:rPr>
              <w:t>PHMED-SE PHMED RAJAHMUNDRY</w:t>
            </w:r>
          </w:p>
        </w:tc>
      </w:tr>
      <w:tr>
        <w:tc>
          <w:tcPr>
            <w:tcW w:type="dxa" w:w="4320"/>
          </w:tcPr>
          <w:p>
            <w:r>
              <w:rPr>
                <w:b/>
                <w:sz w:val="19"/>
              </w:rPr>
              <w:t>Domain Classification &amp; Keyword</w:t>
            </w:r>
          </w:p>
        </w:tc>
        <w:tc>
          <w:tcPr>
            <w:tcW w:type="dxa" w:w="4320"/>
          </w:tcPr>
          <w:p>
            <w:r>
              <w:rPr>
                <w:sz w:val="19"/>
              </w:rPr>
              <w:t>Urban Property Tax Geospatial Survey &amp; Municipal Asset Geodatabase (Development)</w:t>
            </w:r>
          </w:p>
        </w:tc>
      </w:tr>
      <w:tr>
        <w:tc>
          <w:tcPr>
            <w:tcW w:type="dxa" w:w="4320"/>
          </w:tcPr>
          <w:p>
            <w:r>
              <w:rPr>
                <w:b/>
                <w:sz w:val="19"/>
              </w:rPr>
              <w:t>Bid Publication Date &amp; Time</w:t>
            </w:r>
          </w:p>
        </w:tc>
        <w:tc>
          <w:tcPr>
            <w:tcW w:type="dxa" w:w="4320"/>
          </w:tcPr>
          <w:p>
            <w:r>
              <w:rPr>
                <w:sz w:val="19"/>
              </w:rPr>
              <w:t>29/09/2026 09:00 AM</w:t>
            </w:r>
          </w:p>
        </w:tc>
      </w:tr>
      <w:tr>
        <w:tc>
          <w:tcPr>
            <w:tcW w:type="dxa" w:w="4320"/>
          </w:tcPr>
          <w:p>
            <w:r>
              <w:rPr>
                <w:b/>
                <w:sz w:val="19"/>
              </w:rPr>
              <w:t>Bid Submission Closing Deadline</w:t>
            </w:r>
          </w:p>
        </w:tc>
        <w:tc>
          <w:tcPr>
            <w:tcW w:type="dxa" w:w="4320"/>
          </w:tcPr>
          <w:p>
            <w:r>
              <w:rPr>
                <w:sz w:val="19"/>
              </w:rPr>
              <w:t>21/10/2026 06:00 PM</w:t>
            </w:r>
          </w:p>
        </w:tc>
      </w:tr>
    </w:tbl>
    <w:p/>
    <w:p>
      <w:pPr>
        <w:pStyle w:val="Heading1"/>
      </w:pPr>
      <w:r>
        <w:t>1. INTRODUCTION AND PROJECT SCOPE</w:t>
      </w:r>
    </w:p>
    <w:p>
      <w:pPr>
        <w:spacing w:line="276" w:lineRule="auto"/>
      </w:pPr>
      <w:r>
        <w:t>The competent municipal authority requires turnkey execution of high-resolution drone photogrammetry, continuous GNSS Ground Control Points (GCP) network establishment, 100% door-to-door spatial property tax assessment, unique property identification number (UPIN) integration, and enterprise web-GIS municipal portal deployment. The objective is complete property revenue saturation, unauthorized construction detection, and seamless integration with the state municipal revenue billing gateway.</w:t>
      </w:r>
    </w:p>
    <w:p>
      <w:pPr>
        <w:pStyle w:val="Heading1"/>
      </w:pPr>
      <w:r>
        <w:t>2. TECHNICAL SPECIFICATIONS &amp; STANDARDS</w:t>
      </w:r>
    </w:p>
    <w:p>
      <w:r>
        <w:t>2.1 Geodetic Datum &amp; Spatial Reference: All spatial mapping, drone photogrammetry, and LiDAR surveys must be referenced to WGS84 Datum with Universal Transverse Mercator (UTM) Projection. Ground control network must link directly to Survey of India (SoI) CORS stations with baseline verification &lt; 5 mm.</w:t>
      </w:r>
    </w:p>
    <w:p>
      <w:r>
        <w:t>2.2 Absolute Accuracy &amp; Resolution: Horizontal absolute root mean square error (RMSE) must not exceed 5.0 cm on hard surfaces, and vertical RMSE &lt; 10.0 cm. Orthomosaic imagery must be generated at Ground Sampling Distance (GSD) of 5 cm or better, delivered in GeoTIFF / ECW formats with OGC-compliant metadata.</w:t>
      </w:r>
    </w:p>
    <w:p>
      <w:r>
        <w:t>2.3 Enterprise Web-GIS Software Architecture: The central spatial database must be deployed on open enterprise stack (PostgreSQL with PostGIS spatial extensions, GeoServer, and React / Leaflet frontends). All spatial layers must expose standard OGC services (WMS, WFS, WCS) with JWT role-based access control.</w:t>
      </w:r>
    </w:p>
    <w:p>
      <w:r>
        <w:t>2.4 Data Security &amp; Compliance: In compliance with National Geospatial Policy (NGP 2022) and MeitY Guidelines, all spatial data, LiDAR clouds, and raster rasters must be stored on MeitY-empanelled Tier-III cloud data centers located physically within the Union of India.</w:t>
      </w:r>
    </w:p>
    <w:p>
      <w:pPr>
        <w:pStyle w:val="Heading1"/>
      </w:pPr>
      <w:r>
        <w:t>3. BILL OF QUANTITIES (BOQ) &amp; PRICING SCHEDULE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Item</w:t>
            </w:r>
          </w:p>
        </w:tc>
        <w:tc>
          <w:tcPr>
            <w:tcW w:type="dxa" w:w="1440"/>
          </w:tcPr>
          <w:p>
            <w:r>
              <w:rPr>
                <w:b/>
                <w:sz w:val="18"/>
              </w:rPr>
              <w:t>Description of Work</w:t>
            </w:r>
          </w:p>
        </w:tc>
        <w:tc>
          <w:tcPr>
            <w:tcW w:type="dxa" w:w="1440"/>
          </w:tcPr>
          <w:p>
            <w:r>
              <w:rPr>
                <w:b/>
                <w:sz w:val="18"/>
              </w:rPr>
              <w:t>Qty</w:t>
            </w:r>
          </w:p>
        </w:tc>
        <w:tc>
          <w:tcPr>
            <w:tcW w:type="dxa" w:w="1440"/>
          </w:tcPr>
          <w:p>
            <w:r>
              <w:rPr>
                <w:b/>
                <w:sz w:val="18"/>
              </w:rPr>
              <w:t>Unit</w:t>
            </w:r>
          </w:p>
        </w:tc>
        <w:tc>
          <w:tcPr>
            <w:tcW w:type="dxa" w:w="1440"/>
          </w:tcPr>
          <w:p>
            <w:r>
              <w:rPr>
                <w:b/>
                <w:sz w:val="18"/>
              </w:rPr>
              <w:t>Rate (INR)</w:t>
            </w:r>
          </w:p>
        </w:tc>
        <w:tc>
          <w:tcPr>
            <w:tcW w:type="dxa" w:w="1440"/>
          </w:tcPr>
          <w:p>
            <w:r>
              <w:rPr>
                <w:b/>
                <w:sz w:val="18"/>
              </w:rPr>
              <w:t>Total (INR)</w:t>
            </w:r>
          </w:p>
        </w:tc>
      </w:tr>
      <w:tr>
        <w:tc>
          <w:tcPr>
            <w:tcW w:type="dxa" w:w="1440"/>
          </w:tcPr>
          <w:p>
            <w:r>
              <w:rPr>
                <w:sz w:val="17"/>
              </w:rPr>
              <w:t>1.01</w:t>
            </w:r>
          </w:p>
        </w:tc>
        <w:tc>
          <w:tcPr>
            <w:tcW w:type="dxa" w:w="1440"/>
          </w:tcPr>
          <w:p>
            <w:r>
              <w:rPr>
                <w:sz w:val="17"/>
              </w:rPr>
              <w:t>Establishment of DGPS Ground Control Points (GCP) network linked to Survey of India CORS network</w:t>
            </w:r>
          </w:p>
        </w:tc>
        <w:tc>
          <w:tcPr>
            <w:tcW w:type="dxa" w:w="1440"/>
          </w:tcPr>
          <w:p>
            <w:r>
              <w:rPr>
                <w:sz w:val="17"/>
              </w:rPr>
              <w:t>45</w:t>
            </w:r>
          </w:p>
        </w:tc>
        <w:tc>
          <w:tcPr>
            <w:tcW w:type="dxa" w:w="1440"/>
          </w:tcPr>
          <w:p>
            <w:r>
              <w:rPr>
                <w:sz w:val="17"/>
              </w:rPr>
              <w:t>Points</w:t>
            </w:r>
          </w:p>
        </w:tc>
        <w:tc>
          <w:tcPr>
            <w:tcW w:type="dxa" w:w="1440"/>
          </w:tcPr>
          <w:p>
            <w:r>
              <w:rPr>
                <w:sz w:val="17"/>
              </w:rPr>
              <w:t>12,500.00</w:t>
            </w:r>
          </w:p>
        </w:tc>
        <w:tc>
          <w:tcPr>
            <w:tcW w:type="dxa" w:w="1440"/>
          </w:tcPr>
          <w:p>
            <w:r>
              <w:rPr>
                <w:sz w:val="17"/>
              </w:rPr>
              <w:t>562,500.00</w:t>
            </w:r>
          </w:p>
        </w:tc>
      </w:tr>
      <w:tr>
        <w:tc>
          <w:tcPr>
            <w:tcW w:type="dxa" w:w="1440"/>
          </w:tcPr>
          <w:p>
            <w:r>
              <w:rPr>
                <w:sz w:val="17"/>
              </w:rPr>
              <w:t>1.02</w:t>
            </w:r>
          </w:p>
        </w:tc>
        <w:tc>
          <w:tcPr>
            <w:tcW w:type="dxa" w:w="1440"/>
          </w:tcPr>
          <w:p>
            <w:r>
              <w:rPr>
                <w:sz w:val="17"/>
              </w:rPr>
              <w:t>High-Resolution Drone Aerial Photogrammetric Survey (5 cm GSD, True Orthophoto in GeoTIFF/ECW format)</w:t>
            </w:r>
          </w:p>
        </w:tc>
        <w:tc>
          <w:tcPr>
            <w:tcW w:type="dxa" w:w="1440"/>
          </w:tcPr>
          <w:p>
            <w:r>
              <w:rPr>
                <w:sz w:val="17"/>
              </w:rPr>
              <w:t>180</w:t>
            </w:r>
          </w:p>
        </w:tc>
        <w:tc>
          <w:tcPr>
            <w:tcW w:type="dxa" w:w="1440"/>
          </w:tcPr>
          <w:p>
            <w:r>
              <w:rPr>
                <w:sz w:val="17"/>
              </w:rPr>
              <w:t>Sq. Km</w:t>
            </w:r>
          </w:p>
        </w:tc>
        <w:tc>
          <w:tcPr>
            <w:tcW w:type="dxa" w:w="1440"/>
          </w:tcPr>
          <w:p>
            <w:r>
              <w:rPr>
                <w:sz w:val="17"/>
              </w:rPr>
              <w:t>18,500.00</w:t>
            </w:r>
          </w:p>
        </w:tc>
        <w:tc>
          <w:tcPr>
            <w:tcW w:type="dxa" w:w="1440"/>
          </w:tcPr>
          <w:p>
            <w:r>
              <w:rPr>
                <w:sz w:val="17"/>
              </w:rPr>
              <w:t>3,330,000.00</w:t>
            </w:r>
          </w:p>
        </w:tc>
      </w:tr>
      <w:tr>
        <w:tc>
          <w:tcPr>
            <w:tcW w:type="dxa" w:w="1440"/>
          </w:tcPr>
          <w:p>
            <w:r>
              <w:rPr>
                <w:sz w:val="17"/>
              </w:rPr>
              <w:t>1.03</w:t>
            </w:r>
          </w:p>
        </w:tc>
        <w:tc>
          <w:tcPr>
            <w:tcW w:type="dxa" w:w="1440"/>
          </w:tcPr>
          <w:p>
            <w:r>
              <w:rPr>
                <w:sz w:val="17"/>
              </w:rPr>
              <w:t>3D Digital Surface Model (DSM) &amp; Digital Terrain Model (DTM) extraction with 0.5m contour interval</w:t>
            </w:r>
          </w:p>
        </w:tc>
        <w:tc>
          <w:tcPr>
            <w:tcW w:type="dxa" w:w="1440"/>
          </w:tcPr>
          <w:p>
            <w:r>
              <w:rPr>
                <w:sz w:val="17"/>
              </w:rPr>
              <w:t>180</w:t>
            </w:r>
          </w:p>
        </w:tc>
        <w:tc>
          <w:tcPr>
            <w:tcW w:type="dxa" w:w="1440"/>
          </w:tcPr>
          <w:p>
            <w:r>
              <w:rPr>
                <w:sz w:val="17"/>
              </w:rPr>
              <w:t>Sq. Km</w:t>
            </w:r>
          </w:p>
        </w:tc>
        <w:tc>
          <w:tcPr>
            <w:tcW w:type="dxa" w:w="1440"/>
          </w:tcPr>
          <w:p>
            <w:r>
              <w:rPr>
                <w:sz w:val="17"/>
              </w:rPr>
              <w:t>8,000.00</w:t>
            </w:r>
          </w:p>
        </w:tc>
        <w:tc>
          <w:tcPr>
            <w:tcW w:type="dxa" w:w="1440"/>
          </w:tcPr>
          <w:p>
            <w:r>
              <w:rPr>
                <w:sz w:val="17"/>
              </w:rPr>
              <w:t>1,440,000.00</w:t>
            </w:r>
          </w:p>
        </w:tc>
      </w:tr>
      <w:tr>
        <w:tc>
          <w:tcPr>
            <w:tcW w:type="dxa" w:w="1440"/>
          </w:tcPr>
          <w:p>
            <w:r>
              <w:rPr>
                <w:sz w:val="17"/>
              </w:rPr>
              <w:t>1.04</w:t>
            </w:r>
          </w:p>
        </w:tc>
        <w:tc>
          <w:tcPr>
            <w:tcW w:type="dxa" w:w="1440"/>
          </w:tcPr>
          <w:p>
            <w:r>
              <w:rPr>
                <w:sz w:val="17"/>
              </w:rPr>
              <w:t>Base Map Vectorization &amp; Building Footprint Digitization with rooftop material and floor classification</w:t>
            </w:r>
          </w:p>
        </w:tc>
        <w:tc>
          <w:tcPr>
            <w:tcW w:type="dxa" w:w="1440"/>
          </w:tcPr>
          <w:p>
            <w:r>
              <w:rPr>
                <w:sz w:val="17"/>
              </w:rPr>
              <w:t>125,000</w:t>
            </w:r>
          </w:p>
        </w:tc>
        <w:tc>
          <w:tcPr>
            <w:tcW w:type="dxa" w:w="1440"/>
          </w:tcPr>
          <w:p>
            <w:r>
              <w:rPr>
                <w:sz w:val="17"/>
              </w:rPr>
              <w:t>Properties</w:t>
            </w:r>
          </w:p>
        </w:tc>
        <w:tc>
          <w:tcPr>
            <w:tcW w:type="dxa" w:w="1440"/>
          </w:tcPr>
          <w:p>
            <w:r>
              <w:rPr>
                <w:sz w:val="17"/>
              </w:rPr>
              <w:t>45.00</w:t>
            </w:r>
          </w:p>
        </w:tc>
        <w:tc>
          <w:tcPr>
            <w:tcW w:type="dxa" w:w="1440"/>
          </w:tcPr>
          <w:p>
            <w:r>
              <w:rPr>
                <w:sz w:val="17"/>
              </w:rPr>
              <w:t>5,625,000.00</w:t>
            </w:r>
          </w:p>
        </w:tc>
      </w:tr>
      <w:tr>
        <w:tc>
          <w:tcPr>
            <w:tcW w:type="dxa" w:w="1440"/>
          </w:tcPr>
          <w:p>
            <w:r>
              <w:rPr>
                <w:sz w:val="17"/>
              </w:rPr>
              <w:t>1.05</w:t>
            </w:r>
          </w:p>
        </w:tc>
        <w:tc>
          <w:tcPr>
            <w:tcW w:type="dxa" w:w="1440"/>
          </w:tcPr>
          <w:p>
            <w:r>
              <w:rPr>
                <w:sz w:val="17"/>
              </w:rPr>
              <w:t>100% Door-to-Door Field Property Geospatial Assessment &amp; Socio-economic Geo-tagging via Mobile GIS App</w:t>
            </w:r>
          </w:p>
        </w:tc>
        <w:tc>
          <w:tcPr>
            <w:tcW w:type="dxa" w:w="1440"/>
          </w:tcPr>
          <w:p>
            <w:r>
              <w:rPr>
                <w:sz w:val="17"/>
              </w:rPr>
              <w:t>125,000</w:t>
            </w:r>
          </w:p>
        </w:tc>
        <w:tc>
          <w:tcPr>
            <w:tcW w:type="dxa" w:w="1440"/>
          </w:tcPr>
          <w:p>
            <w:r>
              <w:rPr>
                <w:sz w:val="17"/>
              </w:rPr>
              <w:t>Properties</w:t>
            </w:r>
          </w:p>
        </w:tc>
        <w:tc>
          <w:tcPr>
            <w:tcW w:type="dxa" w:w="1440"/>
          </w:tcPr>
          <w:p>
            <w:r>
              <w:rPr>
                <w:sz w:val="17"/>
              </w:rPr>
              <w:t>115.00</w:t>
            </w:r>
          </w:p>
        </w:tc>
        <w:tc>
          <w:tcPr>
            <w:tcW w:type="dxa" w:w="1440"/>
          </w:tcPr>
          <w:p>
            <w:r>
              <w:rPr>
                <w:sz w:val="17"/>
              </w:rPr>
              <w:t>14,375,000.00</w:t>
            </w:r>
          </w:p>
        </w:tc>
      </w:tr>
      <w:tr>
        <w:tc>
          <w:tcPr>
            <w:tcW w:type="dxa" w:w="1440"/>
          </w:tcPr>
          <w:p>
            <w:r>
              <w:rPr>
                <w:sz w:val="17"/>
              </w:rPr>
              <w:t>1.06</w:t>
            </w:r>
          </w:p>
        </w:tc>
        <w:tc>
          <w:tcPr>
            <w:tcW w:type="dxa" w:w="1440"/>
          </w:tcPr>
          <w:p>
            <w:r>
              <w:rPr>
                <w:sz w:val="17"/>
              </w:rPr>
              <w:t>Unique Property Identification Number (UPIN / BUID) QR-Code Plate Generation &amp; Field Fixing</w:t>
            </w:r>
          </w:p>
        </w:tc>
        <w:tc>
          <w:tcPr>
            <w:tcW w:type="dxa" w:w="1440"/>
          </w:tcPr>
          <w:p>
            <w:r>
              <w:rPr>
                <w:sz w:val="17"/>
              </w:rPr>
              <w:t>125,000</w:t>
            </w:r>
          </w:p>
        </w:tc>
        <w:tc>
          <w:tcPr>
            <w:tcW w:type="dxa" w:w="1440"/>
          </w:tcPr>
          <w:p>
            <w:r>
              <w:rPr>
                <w:sz w:val="17"/>
              </w:rPr>
              <w:t>Units</w:t>
            </w:r>
          </w:p>
        </w:tc>
        <w:tc>
          <w:tcPr>
            <w:tcW w:type="dxa" w:w="1440"/>
          </w:tcPr>
          <w:p>
            <w:r>
              <w:rPr>
                <w:sz w:val="17"/>
              </w:rPr>
              <w:t>38.00</w:t>
            </w:r>
          </w:p>
        </w:tc>
        <w:tc>
          <w:tcPr>
            <w:tcW w:type="dxa" w:w="1440"/>
          </w:tcPr>
          <w:p>
            <w:r>
              <w:rPr>
                <w:sz w:val="17"/>
              </w:rPr>
              <w:t>4,750,000.00</w:t>
            </w:r>
          </w:p>
        </w:tc>
      </w:tr>
      <w:tr>
        <w:tc>
          <w:tcPr>
            <w:tcW w:type="dxa" w:w="1440"/>
          </w:tcPr>
          <w:p>
            <w:r>
              <w:rPr>
                <w:sz w:val="17"/>
              </w:rPr>
              <w:t>1.07</w:t>
            </w:r>
          </w:p>
        </w:tc>
        <w:tc>
          <w:tcPr>
            <w:tcW w:type="dxa" w:w="1440"/>
          </w:tcPr>
          <w:p>
            <w:r>
              <w:rPr>
                <w:sz w:val="17"/>
              </w:rPr>
              <w:t>Integration of Spatial Geodatabase with Municipal CDMA / Revenue Billing Software &amp; Tax Demand Registers</w:t>
            </w:r>
          </w:p>
        </w:tc>
        <w:tc>
          <w:tcPr>
            <w:tcW w:type="dxa" w:w="1440"/>
          </w:tcPr>
          <w:p>
            <w:r>
              <w:rPr>
                <w:sz w:val="17"/>
              </w:rPr>
              <w:t>1</w:t>
            </w:r>
          </w:p>
        </w:tc>
        <w:tc>
          <w:tcPr>
            <w:tcW w:type="dxa" w:w="1440"/>
          </w:tcPr>
          <w:p>
            <w:r>
              <w:rPr>
                <w:sz w:val="17"/>
              </w:rPr>
              <w:t>Lump-sum</w:t>
            </w:r>
          </w:p>
        </w:tc>
        <w:tc>
          <w:tcPr>
            <w:tcW w:type="dxa" w:w="1440"/>
          </w:tcPr>
          <w:p>
            <w:r>
              <w:rPr>
                <w:sz w:val="17"/>
              </w:rPr>
              <w:t>2,850,000.00</w:t>
            </w:r>
          </w:p>
        </w:tc>
        <w:tc>
          <w:tcPr>
            <w:tcW w:type="dxa" w:w="1440"/>
          </w:tcPr>
          <w:p>
            <w:r>
              <w:rPr>
                <w:sz w:val="17"/>
              </w:rPr>
              <w:t>2,850,000.00</w:t>
            </w:r>
          </w:p>
        </w:tc>
      </w:tr>
      <w:tr>
        <w:tc>
          <w:tcPr>
            <w:tcW w:type="dxa" w:w="1440"/>
          </w:tcPr>
          <w:p>
            <w:r>
              <w:rPr>
                <w:sz w:val="17"/>
              </w:rPr>
              <w:t>1.08</w:t>
            </w:r>
          </w:p>
        </w:tc>
        <w:tc>
          <w:tcPr>
            <w:tcW w:type="dxa" w:w="1440"/>
          </w:tcPr>
          <w:p>
            <w:r>
              <w:rPr>
                <w:sz w:val="17"/>
              </w:rPr>
              <w:t>Enterprise Web GIS Public Portal &amp; Municipal Administrative Dashboard Development (PostgreSQL/PostGIS, GeoServer)</w:t>
            </w:r>
          </w:p>
        </w:tc>
        <w:tc>
          <w:tcPr>
            <w:tcW w:type="dxa" w:w="1440"/>
          </w:tcPr>
          <w:p>
            <w:r>
              <w:rPr>
                <w:sz w:val="17"/>
              </w:rPr>
              <w:t>1</w:t>
            </w:r>
          </w:p>
        </w:tc>
        <w:tc>
          <w:tcPr>
            <w:tcW w:type="dxa" w:w="1440"/>
          </w:tcPr>
          <w:p>
            <w:r>
              <w:rPr>
                <w:sz w:val="17"/>
              </w:rPr>
              <w:t>System</w:t>
            </w:r>
          </w:p>
        </w:tc>
        <w:tc>
          <w:tcPr>
            <w:tcW w:type="dxa" w:w="1440"/>
          </w:tcPr>
          <w:p>
            <w:r>
              <w:rPr>
                <w:sz w:val="17"/>
              </w:rPr>
              <w:t>3,600,000.00</w:t>
            </w:r>
          </w:p>
        </w:tc>
        <w:tc>
          <w:tcPr>
            <w:tcW w:type="dxa" w:w="1440"/>
          </w:tcPr>
          <w:p>
            <w:r>
              <w:rPr>
                <w:sz w:val="17"/>
              </w:rPr>
              <w:t>3,600,000.00</w:t>
            </w:r>
          </w:p>
        </w:tc>
      </w:tr>
      <w:tr>
        <w:tc>
          <w:tcPr>
            <w:tcW w:type="dxa" w:w="1440"/>
          </w:tcPr>
          <w:p>
            <w:r>
              <w:rPr>
                <w:sz w:val="17"/>
              </w:rPr>
              <w:t>1.09</w:t>
            </w:r>
          </w:p>
        </w:tc>
        <w:tc>
          <w:tcPr>
            <w:tcW w:type="dxa" w:w="1440"/>
          </w:tcPr>
          <w:p>
            <w:r>
              <w:rPr>
                <w:sz w:val="17"/>
              </w:rPr>
              <w:t>Comprehensive 3-Year On-site Technical Operations, Software Maintenance &amp; Field Updates (FMS)</w:t>
            </w:r>
          </w:p>
        </w:tc>
        <w:tc>
          <w:tcPr>
            <w:tcW w:type="dxa" w:w="1440"/>
          </w:tcPr>
          <w:p>
            <w:r>
              <w:rPr>
                <w:sz w:val="17"/>
              </w:rPr>
              <w:t>36</w:t>
            </w:r>
          </w:p>
        </w:tc>
        <w:tc>
          <w:tcPr>
            <w:tcW w:type="dxa" w:w="1440"/>
          </w:tcPr>
          <w:p>
            <w:r>
              <w:rPr>
                <w:sz w:val="17"/>
              </w:rPr>
              <w:t>Months</w:t>
            </w:r>
          </w:p>
        </w:tc>
        <w:tc>
          <w:tcPr>
            <w:tcW w:type="dxa" w:w="1440"/>
          </w:tcPr>
          <w:p>
            <w:r>
              <w:rPr>
                <w:sz w:val="17"/>
              </w:rPr>
              <w:t>125,000.00</w:t>
            </w:r>
          </w:p>
        </w:tc>
        <w:tc>
          <w:tcPr>
            <w:tcW w:type="dxa" w:w="1440"/>
          </w:tcPr>
          <w:p>
            <w:r>
              <w:rPr>
                <w:sz w:val="17"/>
              </w:rPr>
              <w:t>4,500,000.00</w:t>
            </w:r>
          </w:p>
        </w:tc>
      </w:tr>
    </w:tbl>
    <w:p>
      <w:r>
        <w:br/>
        <w:t>Estimated Contract Value (ECV): INR 41,032,500.00 + GST 18.00% applicable as per Government of India taxation rules.</w:t>
      </w:r>
    </w:p>
    <w:p>
      <w:pPr>
        <w:pStyle w:val="Heading1"/>
      </w:pPr>
      <w:r>
        <w:t>4. MINIMUM BIDDER ELIGIBILITY CRITERIA</w:t>
      </w:r>
    </w:p>
    <w:p>
      <w:r>
        <w:t>4.1 Financial Turnover: The bidder must have an average annual financial turnover of at least INR 15.00 Crores over the preceding three financial years (certified by a practicing Chartered Accountant with valid UDIN).</w:t>
      </w:r>
    </w:p>
    <w:p>
      <w:r>
        <w:t>4.2 Past Experience: Successfully completed at least three GIS-based property tax / urban mapping projects for State ULBs/Smart Cities.</w:t>
      </w:r>
    </w:p>
    <w:p>
      <w:r>
        <w:t>4.3 Key Technical Expert: M.Tech Geoinformatics / Urban Planning with 10+ years experience in Municipal WebGIS.</w:t>
      </w:r>
    </w:p>
    <w:p>
      <w:r>
        <w:t>4.4 Quality &amp; Information Security Certifications: The lead bidder must hold valid ISO 9001:2015 (Quality Management), ISO 27001:2022 (Information Security Management), and CMMI Level 3 or higher certification on the date of bid submission.</w:t>
      </w:r>
    </w:p>
    <w:p>
      <w:pPr>
        <w:pStyle w:val="Heading1"/>
      </w:pPr>
      <w:r>
        <w:t>5. GENERAL TENDER CONDITIONS &amp; SUBMISSION</w:t>
      </w:r>
    </w:p>
    <w:p>
      <w:r>
        <w:t>5.1 Online Submission Only: Bids must be submitted strictly in electronic format through the official state e-procurement portal. Hardcopy submissions shall not be accepted for price bids.</w:t>
      </w:r>
    </w:p>
    <w:p>
      <w:r>
        <w:t>5.2 Earnest Money Deposit (EMD): EMD must be remitted electronically via the online payment gateway or Bank Guarantee as specified in the e-procurement platform.</w:t>
      </w:r>
    </w:p>
    <w:p>
      <w:r>
        <w:t>5.3 Bid Validity: All submitted proposals and rates shall remain valid for a period of 120 (One Hundred and Twenty) calendar days from the opening date of the technical bid.</w:t>
      </w:r>
    </w:p>
    <w:p>
      <w:r>
        <w:t>5.4 Consortium / Joint Venture: Consortium or Joint Venture bidding is permissible with maximum two partners, where the Lead Bidder must hold at least 51% equity participation.</w:t>
      </w:r>
    </w:p>
    <w:p>
      <w:r>
        <w:br/>
        <w:br/>
        <w:t>________________________________________</w:t>
      </w:r>
    </w:p>
    <w:p>
      <w:r>
        <w:rPr>
          <w:b/>
        </w:rPr>
        <w:t>For and on behalf of Government of Andhra Pradesh</w:t>
        <w:br/>
      </w:r>
      <w:r>
        <w:t>Authorized Signatory &amp; Competent Tender Inviting Authority</w:t>
        <w:br/>
        <w:t>PHMED-SE PHMED RAJAHMUNDRY</w:t>
        <w:br/>
      </w:r>
      <w:r>
        <w:t>[OFFICIAL DIGITAL SIGNATURE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