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E3812" w14:textId="77777777" w:rsidR="00B57D84" w:rsidRPr="00B57D84" w:rsidRDefault="00B57D84" w:rsidP="00B57D84">
      <w:pPr>
        <w:pStyle w:val="PaperTitle"/>
        <w:rPr>
          <w:bCs/>
        </w:rPr>
      </w:pPr>
      <w:r w:rsidRPr="00B57D84">
        <w:rPr>
          <w:bCs/>
        </w:rPr>
        <w:t>Genetic Inverse Design of Polymer Dielectrics Using a Multimodal Multitask Pretrained Framework</w:t>
      </w:r>
    </w:p>
    <w:p w14:paraId="3414593B" w14:textId="77BB4E6C" w:rsidR="00BA1C60" w:rsidRDefault="00A533A0">
      <w:pPr>
        <w:pStyle w:val="SectionHead"/>
      </w:pPr>
      <w:r>
        <w:rPr>
          <w:b w:val="0"/>
        </w:rPr>
        <w:t>ABSTRACT</w:t>
      </w:r>
    </w:p>
    <w:p>
      <w:pPr>
        <w:pStyle w:val="BodyJustified"/>
      </w:pPr>
      <w:r>
        <w:t>Polymer dielectrics combining low relative permittivity ($\varepsilon_r$) with high glass-transition temperature ($T_g$) are essential for advanced microelectronics, yet these properties are often inversely coupled, restricting viable candidates to a narrow, hard-to-explore region of chemical space. Here we present GA-MMPolymer, a closed-loop inverse-design framework coupling a multimodal surrogate model with fragment-based genetic optimization. Conventional one-dimensional (1D) sequence representations encode backbone topology effectively but cannot resolve three-dimensional (3D) conformational features—fractional free volume, segmental packing, and dipole-orientation distributions—that critically govern dielectric response. MMPolymer addresses this limitation by aligning a 1D repeat-unit encoder with a 3D conformational encoder via cross-modal contrastive pretraining on over one million polymer structures, then fine-tuning on experimental $T_g$ and high-fidelity computed $\varepsilon_r$ data. The resulting surrogate achieves R² ≈ 0.92 for $T_g$ and R² ≈ 0.84 for $\varepsilon_r$, outperforming unimodal baselines, with the multimodal gain most pronounced for $\varepsilon_r$ where 3D spatial awareness captures polarization contributions inaccessible to 1D topology. Built on this surrogate, the Structure-Guided Evolutionary Framework (SGEF)—integrating conformation-guided fragment mutation in 3D noise space, diversity-preserving selection, hierarchical co-evolution with three specialized populations, and confidence-bounded surrogate guidance—drives the population-mean $T_g$ from approximately 150 °C to nearly 300 °C over 50 generations while lowering the mean $\varepsilon_r$ to approximately 2.5, with elite candidates reaching $\varepsilon_r$ &lt; 2.3. Density functional theory and all-atom molecular dynamics verification confirms close surrogate–simulator agreement. Top-ranked de novo candidates reveal complementary design strategies—rigid fluorinated backbones and dipole-dilution architectures—occupying sparsely populated regions of the $T_g$–$\varepsilon_r$ Pareto landscape.</w:t>
      </w:r>
    </w:p>
    <w:p w14:paraId="78809908" w14:textId="6EB63CC2" w:rsidR="00BA1C60" w:rsidRDefault="00A533A0">
      <w:pPr>
        <w:pStyle w:val="SectionHead"/>
      </w:pPr>
      <w:r>
        <w:rPr>
          <w:b w:val="0"/>
        </w:rPr>
        <w:t>Introduction</w:t>
      </w:r>
    </w:p>
    <w:p w14:paraId="3D749C49" w14:textId="1DB0722D" w:rsidR="008E4811" w:rsidRDefault="008E4811">
      <w:pPr>
        <w:pStyle w:val="BodyJustified"/>
        <w:rPr>
          <w:kern w:val="2"/>
          <w:lang w:eastAsia="zh-CN"/>
          <w14:ligatures w14:val="standardContextual"/>
        </w:rPr>
      </w:pPr>
      <w:r>
        <w:t>The widespread deployment of next-generation information technologies, including 5G/6G communications, artificial intelligence, and the Internet of Things, continues to increase data rates and interconnect densities, thereby pushing microelectronic materials into more stringent electrical and thermal operating regimes. In high-density back-end-of-line (BEOL) wiring and high-frequency modules (mmWave/THz), the dielectric layer is no longer a passive component: its permittivity directly controls capacitive loading, signal delay, and crosstalk, and thus influences both power dissipation and thermal management. Consequently, next-generation polymer dielectrics are expected to combine ultra-low relative dielectric permittivity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with high glass-transition temperature () to maintain signal integrity and dimensional stability under aggressive processing and operating conditions.</w:t>
      </w:r>
    </w:p>
    <w:p w14:paraId="2BF2F0EF" w14:textId="26F68F7B" w:rsidR="008E4811" w:rsidRDefault="008E4811">
      <w:pPr>
        <w:pStyle w:val="BodyJustified"/>
        <w:rPr>
          <w:kern w:val="2"/>
          <w:lang w:eastAsia="zh-CN"/>
          <w14:ligatures w14:val="standardContextual"/>
        </w:rPr>
      </w:pPr>
      <w:r>
        <w:t xml:space="preserve">Meeting these electrical and thermal requirements simultaneously remains difficult because dielectric permittivity and thermal stability are often anticorrelated in polymer design. Approaches that lower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typically reduce polarization density and increase fractional free volume, for example by introducing bulky low-polarity substituents or flexible segments that disrupt efficient packing. While such motifs can suppress capacitive loading, they may also weaken intermolecular cohesion and decrease backbone rigidity, thereby reducing . Conversely, strategies aimed at increasing —including rigid aromatic backbones, strong dipolar interactions, and dense packing that restrict segmental motion—often raise polarizability per unit volume and therefore increase . This intrinsic tension confines high-, low- polymers to a narrow sweet spot within a vast chemical space, rendering intuition-driven discovery slow and unreliable.</w:t>
      </w:r>
    </w:p>
    <w:p w14:paraId="619CC016" w14:textId="1725FA8D" w:rsidR="00BA1C60" w:rsidRDefault="00A533A0">
      <w:pPr>
        <w:pStyle w:val="BodyJustified"/>
      </w:pPr>
      <w:r>
        <w:lastRenderedPageBreak/>
        <w:t xml:space="preserve">The search for this sweet spot is further constrained by the high cost of reliable property evaluation. Experimental synthesis and characterization of polymer dielectrics are inherently low throughput, and iterative trial-and-error becomes impractical as the candidate space expands combinatorially. Meanwhile, physics-based computations provide strong mechanistic fidelity but remain too expensive for large-scale screening. Predicting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requires capturing both the high-frequency electronic response and the condensed-phase dipolar contribution under realistic morphologies, whereas determining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demands extensive sampling across nonequilibrium thermal protocols and structural heterogeneity in amorphous cells. These requirements create a persistent speed–accuracy dilemma: high-fidelity DFT/MD workflows provide trustworthy benchmarks for individual candidates, but they cannot be naively applied across broad polymer chemical space.</w:t>
      </w:r>
    </w:p>
    <w:p w14:paraId="0F31FBE0" w14:textId="77777777" w:rsidR="00814FFC" w:rsidRDefault="00814FFC" w:rsidP="00814FFC">
      <w:pPr>
        <w:pStyle w:val="BodyJustified"/>
      </w:pPr>
      <w:r>
        <w:t>Recent data-driven inverse-design approaches—including variational autoencoders (VAEs), Bayesian optimization (BO), and reinforcement learning (RL)—have accelerated molecular generation for small molecules and, increasingly, for polymers. However, most of these methods operate on fixed-length SMILES strings or molecular graphs without explicitly encoding three-dimensional conformational effects, and few incorporate synthesizability constraints during the generative process. Fragment-based genetic algorithms offer a complementary route that naturally preserves chemical valence rules through building-block assembly, accommodates variable-length repeat units, and can be directly coupled with domain-specific fitness functions.</w:t>
      </w:r>
    </w:p>
    <w:p>
      <w:pPr>
        <w:pStyle w:val="BodyJustified"/>
      </w:pPr>
      <w:r>
        <w:t>To address this bottleneck, we propose GA-MMPolymer, an inverse-design framework whose core evolutionary engine is the Structure-Guided Evolutionary Framework (SGEF)—an end-to-end system integrating four complementary mechanisms for chemically directed polymer optimization under competing constraints. The foundation remains MMPolymer, a dual-branch representation model that integrates 1D chemical semantics with 3D conformational cues via cross-modal contrastive learning for conformation-aware prediction of $T_g$ and $\varepsilon_r$. Building on this surrogate, SGEF performs de novo exploration through: (1) conformation-guided fragment mutation (CFM), which perturbs fragment conformers in 3D continuous noise space via diffusion-based partial noising to timestep $t'$ and denoising, producing structurally similar yet chemically novel fragments; (2) diversity-preserving environmental selection (DPES), which retains both high-fitness and structurally diverse individuals via a composite fingerprint-shape distance metric; (3) a hierarchical co-evolutionary architecture (HCEA) with three specialized populations—Explorers (high-noise crossover), Refiners (moderate-noise mutation), and an Elite Archive (low-noise fine-tuning)—governed by adaptive noise scheduling and periodic migration; and (4) confidence-bounded surrogate guidance (CBSG), which penalizes candidates whose fragments fall outside MMPolymer's applicability domain (Tanimoto similarity $\ge$ 0.4 to the training library). Candidate polymers are ranked with a constraint-aware multi-objective criterion and the most promising designs are subsequently assessed with DFT and all-atom MD.</w:t>
      </w:r>
    </w:p>
    <w:p>
      <w:pPr>
        <w:pStyle w:val="BodyJustified"/>
      </w:pPr>
      <w:r>
        <w:t>Our contributions are fivefold: (i) a multimodal, conformation-aware surrogate that unifies 1D polymer semantics with 3D structural cues for property prediction; (ii) a synthesizability-aware genetic optimization procedure tailored to polymer repeat-unit design under competing objectives; (iii) a consistent DFT/MD verification protocol for reliable assessment of top-ranked candidates; (iv) conformation-guided fragment mutation (CFM), which operates in 3D continuous noise space via diffusion-based noising and denoising to enable chemically directed mutation; and (v) a hierarchical co-evolutionary architecture (HCEA) incorporating diversity-preserving selection and confidence-bounded surrogate guidance, which together maintain population diversity across specialized subpopulations and filter out-of-domain predictions during optimization.</w:t>
      </w:r>
    </w:p>
    <w:p w14:paraId="2F038B55" w14:textId="4CEFC1E8" w:rsidR="00BA1C60" w:rsidRDefault="00A533A0">
      <w:pPr>
        <w:jc w:val="center"/>
      </w:pPr>
      <w:r>
        <w:rPr>
          <w:noProof/>
        </w:rPr>
        <w:lastRenderedPageBreak/>
        <w:drawing>
          <wp:inline distT="0" distB="0" distL="0" distR="0" wp14:anchorId="1889CB5D" wp14:editId="794B6AE0">
            <wp:extent cx="5623560" cy="30015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23560" cy="3001506"/>
                    </a:xfrm>
                    <a:prstGeom prst="rect">
                      <a:avLst/>
                    </a:prstGeom>
                  </pic:spPr>
                </pic:pic>
              </a:graphicData>
            </a:graphic>
          </wp:inline>
        </w:drawing>
      </w:r>
    </w:p>
    <w:p>
      <w:pPr>
        <w:pStyle w:val="FigureCaption"/>
      </w:pPr>
      <w:r>
        <w:t>Figure 1. Overview of the GA-MMPolymer closed-loop inverse-design workflow, centered on the Structure-Guided Evolutionary Framework (SGEF). An initial population is assembled from a BRICS-derived fragment library and iteratively optimized in a generational loop. Candidates are evaluated by the MMPolymer surrogate to predict $T_g$ and $\varepsilon_r$, which are combined with synthetic accessibility to form a multi-objective fitness function. Offspring are generated through three co-evolving subpopulations: Explorers apply high-noise crossover for broad search, Refiners apply moderate-noise conformation-guided fragment mutation (CFM) in 3D noise space, and an Elite Archive performs low-noise fine-tuning. Diversity-preserving environmental selection (DPES) retains both high-fitness and structurally distinct candidates via a composite fingerprint-shape metric. Confidence-bounded surrogate guidance (CBSG) filters candidates whose fragment Tanimoto similarity falls below 0.4 relative to the training domain. Top Pareto-front candidates are verified with DFT and all-atom MD.</w:t>
      </w:r>
    </w:p>
    <w:p w14:paraId="785930F7" w14:textId="77777777" w:rsidR="00BA1C60" w:rsidRDefault="00A533A0">
      <w:pPr>
        <w:pStyle w:val="SectionHead"/>
      </w:pPr>
      <w:r>
        <w:rPr>
          <w:b w:val="0"/>
        </w:rPr>
        <w:t>Results &amp; Discussion</w:t>
      </w:r>
    </w:p>
    <w:p w14:paraId="01F2E2E0" w14:textId="77777777" w:rsidR="00814FFC" w:rsidRDefault="00814FFC" w:rsidP="00814FFC">
      <w:pPr>
        <w:pStyle w:val="BodyJustified"/>
      </w:pPr>
      <w:r>
        <w:t xml:space="preserve">To establish a robust representation space capable of generalizing across diverse polymer architectures, MMPolymer was first pretrained on PI1M, a large-scale repository containing more than one million unlabeled polymer structures. Through masked-atom reconstruction, coordinate denoising, and cross-modal contrastive alignment, this self-supervised stage encodes transferable chemical representations that capture both topological connectivity and spatial arrangement before the downstream regression tasks for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and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The overall MMPolymer architecture and multimodal multitask pretraining scheme are summarized in Figure 2.</w:t>
      </w:r>
    </w:p>
    <w:p w14:paraId="0FBD2424" w14:textId="7249529A" w:rsidR="00BA1C60" w:rsidRDefault="001F0616">
      <w:pPr>
        <w:jc w:val="center"/>
      </w:pPr>
      <w:r>
        <w:rPr>
          <w:noProof/>
        </w:rPr>
        <w:drawing>
          <wp:inline distT="0" distB="0" distL="0" distR="0" wp14:anchorId="7DA04665" wp14:editId="5C2F9249">
            <wp:extent cx="6126480" cy="2527935"/>
            <wp:effectExtent l="0" t="0" r="0" b="5715"/>
            <wp:docPr id="169397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7826" name="图片 169397826"/>
                    <pic:cNvPicPr/>
                  </pic:nvPicPr>
                  <pic:blipFill>
                    <a:blip r:embed="rId9"/>
                    <a:stretch>
                      <a:fillRect/>
                    </a:stretch>
                  </pic:blipFill>
                  <pic:spPr>
                    <a:xfrm>
                      <a:off x="0" y="0"/>
                      <a:ext cx="6126480" cy="2527935"/>
                    </a:xfrm>
                    <a:prstGeom prst="rect">
                      <a:avLst/>
                    </a:prstGeom>
                  </pic:spPr>
                </pic:pic>
              </a:graphicData>
            </a:graphic>
          </wp:inline>
        </w:drawing>
      </w:r>
    </w:p>
    <w:p w14:paraId="662045CD" w14:textId="5D0DC1DF" w:rsidR="00BA1C60" w:rsidRDefault="00A533A0">
      <w:pPr>
        <w:pStyle w:val="FigureCaption"/>
      </w:pPr>
      <w:r>
        <w:lastRenderedPageBreak/>
        <w:t xml:space="preserve">Figure 2. Schematic illustration of the multimodal multitask pretraining framework. The model integrates 1D SMILES sequences and 3D conformational data using a RoBERTa encoder and a Transformer encoder, respectively. The central pretraining module employs 15% masking, noise injection, and contrastive alignment to learn robust representations through input reconstruction and cross-modal consistency. A downstream property-prediction head then estimates key material characteristics, including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and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w:t>
      </w:r>
    </w:p>
    <w:p w14:paraId="22689859" w14:textId="77777777" w:rsidR="00814FFC" w:rsidRDefault="00814FFC" w:rsidP="00814FFC">
      <w:pPr>
        <w:pStyle w:val="BodyJustified"/>
      </w:pPr>
      <w:r>
        <w:t xml:space="preserve">Following pretraining, the model was fine-tuned on curated, task-specific labeled datasets using a hybrid data strategy in which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and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were supervised against different reference domains. All-atom MD simulations of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are well known to exhibit substantial systematic bias because the simulated cooling rates exceed experimental differential scanning calorimetry (DSC) conditions by several orders of magnitude; the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surrogate was therefore trained against experimental measurements so that its predictions remain anchored to the experimental scale. In contrast,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was trained against high-fidelity computed data, for which coupled DFT/MD workflows have been shown to agree closely with experiment. This design necessarily introduces a predictable domain shift when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predictions are later compared with MD-derived external references, but it avoids learning a simulator-specific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scale that is already biased relative to experiment.</w:t>
      </w:r>
    </w:p>
    <w:p w14:paraId="2FD66DC8" w14:textId="77777777" w:rsidR="00814FFC" w:rsidRDefault="00814FFC" w:rsidP="00814FFC">
      <w:pPr>
        <w:pStyle w:val="BodyJustified"/>
      </w:pPr>
      <w:r>
        <w:t xml:space="preserve">The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training data comprise 7,969 experimental records extracted from PoLyInfo after applying three quality-control filters: (1) standard DSC protocols with heating/cooling rates between 5 and 20 K min⁻¹; (2) molecular weight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w</m:t>
            </m:r>
          </m:sub>
        </m:sSub>
      </m:oMath>
      <w:r>
        <w:t xml:space="preserve"> &gt; 10 kDa to minimize end-group effects; and (3) unambiguous structural annotations verified against reported synthesis routes. For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we used 1,070 polymer structures from the RadonPy framework, with values calculated at 1 MHz and 300 K, retaining only entries with converged MD densities (standard deviation &lt; 0.01 g cm⁻³) and DFT self-consistent-field convergence thresholds of 10⁻⁶ a.u. The combined dataset was split into training, validation, and test sets (80%/10%/10%) by stratified random sampling. Full training hyperparameters are provided in Supporting Information Section S1.</w:t>
      </w:r>
    </w:p>
    <w:p w14:paraId="749FC384" w14:textId="4657C2BC" w:rsidR="00BA1C60" w:rsidRDefault="00A533A0">
      <w:pPr>
        <w:pStyle w:val="BodyJustified"/>
      </w:pPr>
      <w:r>
        <w:t>As shown in Figure 3, we benchmarked the fine-tuned MMPolymer against a broad set of baselines spanning three categories: traditional machine-learning models (Linear Regression, GBDT, and ExtraTrees) trained on handcrafted fingerprints, unimodal 1D sequence models (Transformer-based encoders), and unimodal 3D geometric models (Uni-Mol with explicit and implicit hydrogen settings). Performance is quantified by the coefficient of determination, R², and the root-mean-square error (RMSE).</w:t>
      </w:r>
    </w:p>
    <w:p w14:paraId="301C9EDB" w14:textId="35916697" w:rsidR="00BA1C60" w:rsidRDefault="00960B10">
      <w:pPr>
        <w:jc w:val="center"/>
      </w:pPr>
      <w:r w:rsidRPr="00960B10">
        <w:rPr>
          <w:noProof/>
        </w:rPr>
        <w:drawing>
          <wp:inline distT="0" distB="0" distL="0" distR="0" wp14:anchorId="26197285" wp14:editId="4820DD7D">
            <wp:extent cx="6126480" cy="2533015"/>
            <wp:effectExtent l="0" t="0" r="7620" b="635"/>
            <wp:docPr id="1727231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31951" name=""/>
                    <pic:cNvPicPr/>
                  </pic:nvPicPr>
                  <pic:blipFill>
                    <a:blip r:embed="rId10"/>
                    <a:stretch>
                      <a:fillRect/>
                    </a:stretch>
                  </pic:blipFill>
                  <pic:spPr>
                    <a:xfrm>
                      <a:off x="0" y="0"/>
                      <a:ext cx="6126480" cy="2533015"/>
                    </a:xfrm>
                    <a:prstGeom prst="rect">
                      <a:avLst/>
                    </a:prstGeom>
                  </pic:spPr>
                </pic:pic>
              </a:graphicData>
            </a:graphic>
          </wp:inline>
        </w:drawing>
      </w:r>
    </w:p>
    <w:p w14:paraId="550713CB" w14:textId="77777777" w:rsidR="00BA1C60" w:rsidRDefault="00A533A0">
      <w:pPr>
        <w:pStyle w:val="FigureCaption"/>
      </w:pPr>
      <w:r>
        <w:t xml:space="preserve">Figure 3. Performance comparison of MMPolymer against baseline models. The charts report the coefficient of determination, R² (solid circles, left axis), and root-mean-square error (RMSE; hollow circles, right axis), for each method. MMPolymer </w:t>
      </w:r>
      <w:r>
        <w:lastRenderedPageBreak/>
        <w:t>consistently achieves the best overall accuracy relative to traditional machine-learning baselines, 3D pretraining models, and Transformer-based sequence models across both prediction tasks.</w:t>
      </w:r>
    </w:p>
    <w:p w14:paraId="34607C90" w14:textId="30897E35" w:rsidR="00E60AAC" w:rsidRDefault="00E60AAC">
      <w:pPr>
        <w:pStyle w:val="BodyJustified"/>
      </w:pPr>
      <w:r>
        <w:t xml:space="preserve">The results reveal a clear performance hierarchy. Deep learning approaches consistently outperform traditional machine-learning baselines, which exhibit substantially lower R² values (generally below 0.85) and larger RMSE values across both properties. This gap underscores the limitation of fixed handcrafted descriptors in capturing the nonlinear mapping between polymer structure and thermophysical behavior. More importantly, a modality-dependent divergence emerges among the unimodal models. For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prediction (Figure 3a), the 1D Transformer achieves competitive accuracy (approximately R² </w:t>
      </w:r>
      <w:r>
        <w:rPr>
          <w:rFonts w:hint="eastAsia"/>
        </w:rPr>
        <w:t>≈</w:t>
      </w:r>
      <w:r>
        <w:t xml:space="preserve"> 0.90), indicating that sequence-encoded topological features—such as backbone rigidity, branching patterns, and aromatic content—remain highly informative for glass-transition behavior. In contrast, this advantage largely disappears for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prediction (Figure 3b), where 3D-aware models remain more robust. This pattern reflects a key physical insight: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is strongly governed by spatial factors, including fractional free volume, dipole-orientation distributions, and electronic polarizability, that cannot be fully inferred from 1D topology alone.</w:t>
      </w:r>
    </w:p>
    <w:p w14:paraId="49C99755" w14:textId="77777777" w:rsidR="00814FFC" w:rsidRDefault="00814FFC" w:rsidP="00814FFC">
      <w:pPr>
        <w:pStyle w:val="BodyJustified"/>
      </w:pPr>
      <w:r>
        <w:t xml:space="preserve">MMPolymer breaks this unimodal performance ceiling by fusing both modalities. Through contrastive alignment between 1D chemical semantics and 3D conformational features, the model achieves the best overall performance across both tasks, reaching approximately R² ≈ 0.92 for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and R² ≈ 0.84 for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while also delivering the lowest RMSE among the compared baselines. This consistent improvement across both tasks is indicative of complementary information capture rather than redundant feature overlap between the two modalities. For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the 3D branch refines topology-based predictions by incorporating steric hindrance and local packing density, which modulate segmental mobility beyond what a 1D string can encode. For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the model simultaneously captures the distribution of polar groups and their spatial arrangement, enabling a more faithful description of both electronic polarizability and orientational contributions to dielectric response. MMPolymer therefore serves as a robust surrogate for subsequent inverse design.</w:t>
      </w:r>
    </w:p>
    <w:p>
      <w:pPr>
        <w:pStyle w:val="BodyJustified"/>
      </w:pPr>
      <w:r>
        <w:t>Equipped with MMPolymer as a high-fidelity surrogate, we extended the framework from passive property prediction to active de novo design via GA-MMPolymer, powered by the Structure-Guided Evolutionary Framework (SGEF). By rapidly evaluating thousands of virtual candidates across three co-evolving subpopulations, the framework navigates the vast and largely unmapped chemical space of polymer repeat units. Figure 4 tracks the evolution of chemical diversity and population fitness over 50 generations. Early generations (1–10) exhibit high chemical heterogeneity but low mean fitness, reflecting the improbability of randomly assembling high-$T_g$, low-$\varepsilon_r$ candidates. This broad initial diversity is essential for premature convergence. As evolution proceeds, the hierarchical co-evolutionary architecture (HCEA) maintains three specialized subpopulations—Explorers (high-noise crossover), Refiners (moderate-noise conformation-guided mutation), and an Elite Archive (highest-fitness preservation)—with periodic migration ensuring cross-pollination of beneficial motifs. The diversity-preserving environmental selection (DPES) mechanism retains individuals that are both high-fitness and structurally diverse via a composite fingerprint-shape distance metric. The fitness trajectory (Figure 4a) rises steadily, while the 2D t-SNE map (Figure 4b) reveals funneling from scattered early populations into compact high-performance clusters. Critically, convergence occurs without collapsed diversity: the controlled increase in pairwise Tanimoto similarity (Figure 4c) confirms that DPES maintains structural variety within the high-fitness regime, avoiding the rapid homogenization of simple elitism.</w:t>
      </w:r>
    </w:p>
    <w:p w14:paraId="26F478C8" w14:textId="57AD76D3" w:rsidR="00BA1C60" w:rsidRDefault="00A533A0">
      <w:pPr>
        <w:jc w:val="center"/>
      </w:pPr>
      <w:r>
        <w:rPr>
          <w:noProof/>
        </w:rPr>
        <w:lastRenderedPageBreak/>
        <w:drawing>
          <wp:inline distT="0" distB="0" distL="0" distR="0" wp14:anchorId="5A157F79" wp14:editId="05C839ED">
            <wp:extent cx="5486400" cy="35434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486400" cy="3543430"/>
                    </a:xfrm>
                    <a:prstGeom prst="rect">
                      <a:avLst/>
                    </a:prstGeom>
                  </pic:spPr>
                </pic:pic>
              </a:graphicData>
            </a:graphic>
          </wp:inline>
        </w:drawing>
      </w:r>
    </w:p>
    <w:p w14:paraId="333CAB5B" w14:textId="77777777" w:rsidR="00814FFC" w:rsidRDefault="00814FFC" w:rsidP="00814FFC">
      <w:pPr>
        <w:pStyle w:val="FigureCaption"/>
      </w:pPr>
      <w:r>
        <w:t>Figure 4. Evolution of population diversity and fitness during genetic optimization. (a) Mean and best fitness values across 50 generations. (b) 2D t-SNE projection of candidate chemical space, colored by generation, showing progressive funneling toward the target region. (c) Average pairwise Tanimoto similarity, indicating structural convergence without premature collapse.</w:t>
      </w:r>
    </w:p>
    <w:p w14:paraId="0D0BAD60" w14:textId="6A0A9680" w:rsidR="00814FFC" w:rsidRDefault="00814FFC" w:rsidP="00814FFC">
      <w:pPr>
        <w:pStyle w:val="BodyJustified"/>
      </w:pPr>
    </w:p>
    <w:p w14:paraId="1D76F3F4" w14:textId="77798C63" w:rsidR="00814FFC" w:rsidRDefault="00814FFC" w:rsidP="00814FFC">
      <w:pPr>
        <w:pStyle w:val="BodyJustified"/>
      </w:pPr>
      <w:r>
        <w:t xml:space="preserve">The effectiveness of the evolutionary strategy is further quantified in Figure 5. The population-mean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(Figure 5a) increases from roughly 150 °C at initialization to nearly 300 °C by generation 50, while the best candidates continually push the upper envelope. In parallel, the mean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(Figure 5b) decreases rapidly during the first 20 generations and later stabilizes around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 2.5, with the best candidates reaching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&lt; 2.3. The property landscapes in Figures 5c and 5d reveal the shift from a broadly scattered early population to a late-generation population strongly enriched in the target region defined by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&gt; 260 °C and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&lt; 2.8. Many candidates inside this region retain favorable synthetic-accessibility scores (SA score &lt; 5), indicating that the framework enriches for candidates that remain reasonably accessible under this heuristic metric rather than merely idealized structures.</w:t>
      </w:r>
      <w:r>
        <w:t xml:space="preserve"> This strong optimization performance arises from two complementary mechanisms within SGEF. The conformation-guided fragment mutation (CFM) introduces directionality into the mutation operator: perturbing fragment conformers in 3D noise space to timestep $t'$ and denoising via diffusion preferentially yields chemically novel fragments structurally similar to high-fitness parents—analogous to a guided random walk. The hierarchical co-evolutionary architecture (HCEA) further accelerates convergence by dedicating specialized populations to distinct search roles—Explorers for broad coverage, Refiners for local improvement, and the Elite Archive for retention—while periodic migration prevents stagnation.</w:t>
      </w:r>
    </w:p>
    <w:p w14:paraId="503D7F1A" w14:textId="3D55BE6B" w:rsidR="00BA1C60" w:rsidRDefault="001F0616">
      <w:pPr>
        <w:jc w:val="center"/>
      </w:pPr>
      <w:r>
        <w:rPr>
          <w:noProof/>
        </w:rPr>
        <w:lastRenderedPageBreak/>
        <w:drawing>
          <wp:inline distT="0" distB="0" distL="0" distR="0" wp14:anchorId="69858A25" wp14:editId="1CD42D0F">
            <wp:extent cx="6126480" cy="3565525"/>
            <wp:effectExtent l="0" t="0" r="7620" b="0"/>
            <wp:docPr id="3325218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21821" name="图片 332521821"/>
                    <pic:cNvPicPr/>
                  </pic:nvPicPr>
                  <pic:blipFill>
                    <a:blip r:embed="rId12"/>
                    <a:stretch>
                      <a:fillRect/>
                    </a:stretch>
                  </pic:blipFill>
                  <pic:spPr>
                    <a:xfrm>
                      <a:off x="0" y="0"/>
                      <a:ext cx="6126480" cy="3565525"/>
                    </a:xfrm>
                    <a:prstGeom prst="rect">
                      <a:avLst/>
                    </a:prstGeom>
                  </pic:spPr>
                </pic:pic>
              </a:graphicData>
            </a:graphic>
          </wp:inline>
        </w:drawing>
      </w:r>
    </w:p>
    <w:p w14:paraId="6241F2C4" w14:textId="06BB52C2" w:rsidR="00BA1C60" w:rsidRDefault="00A533A0">
      <w:pPr>
        <w:pStyle w:val="FigureCaption"/>
      </w:pPr>
      <w:r>
        <w:t xml:space="preserve">Figure 5. Performance of the dual-objective optimization. (a) Evolution of population-mean and best-candidate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across generations. (b) Evolution of population-mean and best-candidate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across generations. (c) Property landscape for early generations relative to the target region. (d) Property landscape for late generations, showing strong enrichment of candidates in the design window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&gt; 260 °C and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&lt; 2.8. Color indicates synthetic accessibility (SA) score.</w:t>
      </w:r>
    </w:p>
    <w:p w14:paraId="5042590C" w14:textId="77777777" w:rsidR="00E60AAC" w:rsidRDefault="00E60AAC" w:rsidP="00E60AAC">
      <w:pPr>
        <w:pStyle w:val="BodyJustified"/>
      </w:pPr>
      <w:r>
        <w:t>To assess the predicted properties of top-ranked candidates within a common simulator-based reference domain (Figure 6), all selected structures were subjected to a multi-scale computational protocol. Polymer chains were constructed by a self-avoiding random walk (SARW) procedure with the degree of polymerization adjusted so that each chain contained roughly 1,000 atoms, thereby minimizing molecular-weight bias. Amorphous cells were equilibrated using a 21-step compression/decompression protocol under the GAFF2 force field, followed by a 5 ns NPT production run at 300 K and 1 atm to ensure convergence. The dielectric response was decomposed into orientational and electronic parts according to</w:t>
      </w:r>
    </w:p>
    <w:p w14:paraId="25991D23" w14:textId="1FE9327B" w:rsidR="00BA1C60" w:rsidRDefault="00000000">
      <w:pPr>
        <w:jc w:val="center"/>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r</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r>
                <w:rPr>
                  <w:rFonts w:ascii="Cambria Math" w:hAnsi="Cambria Math"/>
                </w:rPr>
                <m:t>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3</m:t>
              </m:r>
              <m:sSub>
                <m:sSubPr>
                  <m:ctrlPr>
                    <w:rPr>
                      <w:rFonts w:ascii="Cambria Math" w:hAnsi="Cambria Math"/>
                    </w:rPr>
                  </m:ctrlPr>
                </m:sSubPr>
                <m:e>
                  <m:r>
                    <w:rPr>
                      <w:rFonts w:ascii="Cambria Math" w:hAnsi="Cambria Math"/>
                    </w:rPr>
                    <m:t>ε</m:t>
                  </m:r>
                </m:e>
                <m:sub>
                  <m:r>
                    <w:rPr>
                      <w:rFonts w:ascii="Cambria Math" w:hAnsi="Cambria Math"/>
                    </w:rPr>
                    <m:t>0</m:t>
                  </m:r>
                </m:sub>
              </m:sSub>
              <m:r>
                <w:rPr>
                  <w:rFonts w:ascii="Cambria Math" w:hAnsi="Cambria Math"/>
                </w:rPr>
                <m:t>V</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el</m:t>
              </m:r>
            </m:sub>
          </m:sSub>
        </m:oMath>
      </m:oMathPara>
    </w:p>
    <w:p w14:paraId="78164C1C" w14:textId="781F5052" w:rsidR="00E60AAC" w:rsidRDefault="00E60AAC" w:rsidP="00E60AAC">
      <w:pPr>
        <w:pStyle w:val="BodyJustified"/>
      </w:pPr>
      <w:r>
        <w:t xml:space="preserve">Here, </w:t>
      </w:r>
      <w:r w:rsidRPr="00E60AAC">
        <w:rPr>
          <w:i/>
        </w:rPr>
        <w:t>M</w:t>
      </w:r>
      <w:r>
        <w:t xml:space="preserve"> is the total dipole moment of the simulation cell, </w:t>
      </w:r>
      <w:r w:rsidRPr="00E60AAC">
        <w:rPr>
          <w:i/>
        </w:rPr>
        <w:t>ε</w:t>
      </w:r>
      <w:r w:rsidRPr="00E60AAC">
        <w:rPr>
          <w:vertAlign w:val="subscript"/>
        </w:rPr>
        <w:t>0</w:t>
      </w:r>
      <w:r>
        <w:t xml:space="preserve"> is the vacuum permittivity, </w:t>
      </w:r>
      <w:r w:rsidRPr="00E60AAC">
        <w:rPr>
          <w:i/>
        </w:rPr>
        <w:t>V</w:t>
      </w:r>
      <w:r>
        <w:t xml:space="preserve"> is the cell volume, </w:t>
      </w:r>
      <w:r w:rsidRPr="00E60AAC">
        <w:rPr>
          <w:i/>
        </w:rPr>
        <w:t>k</w:t>
      </w:r>
      <w:r w:rsidRPr="00E60AAC">
        <w:rPr>
          <w:vertAlign w:val="subscript"/>
        </w:rPr>
        <w:t>B</w:t>
      </w:r>
      <w:r>
        <w:t xml:space="preserve"> is the Boltzmann constant, and </w:t>
      </w:r>
      <w:r w:rsidRPr="00E60AAC">
        <w:rPr>
          <w:i/>
        </w:rPr>
        <w:t>T</w:t>
      </w:r>
      <w:r>
        <w:t xml:space="preserve"> is the temperature. The electronic contribution, </w:t>
      </w:r>
      <w:r w:rsidRPr="00E60AAC">
        <w:rPr>
          <w:i/>
        </w:rPr>
        <w:t>ε</w:t>
      </w:r>
      <w:r w:rsidRPr="00E60AAC">
        <w:rPr>
          <w:vertAlign w:val="subscript"/>
        </w:rPr>
        <w:t>el</w:t>
      </w:r>
      <w:r>
        <w:t xml:space="preserve">, was obtained from the isotropic electronic polarizability, </w:t>
      </w:r>
      <w:r w:rsidRPr="00E60AAC">
        <w:rPr>
          <w:i/>
        </w:rPr>
        <w:t>α</w:t>
      </w:r>
      <w:r>
        <w:t xml:space="preserve">, via the Lorentz-Lorenz equation, with </w:t>
      </w:r>
      <w:r w:rsidRPr="00E60AAC">
        <w:rPr>
          <w:i/>
        </w:rPr>
        <w:t>α</w:t>
      </w:r>
      <w:r>
        <w:t xml:space="preserve"> computed using the ωB97M-D3BJ functional and a mixed basis-set strategy (6-311+G(2d,p) for common atoms and tailored basis sets for heavier halogens; see Supporting Information Section S2).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was determined from a nonequilibrium cooling protocol in which the system was first heated to a fully relaxed rubbery state (density &lt; 0.5 g cm⁻³) to erase thermal history and then cooled at 20 K ns⁻¹. Because this MD cooling rate is many orders of magnitude faster than the DSC conditions represented in the experimental training data, MD-derived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values are expected to be systematically shifted relative to experimental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was identified as the intersection of linear fits to the </w:t>
      </w:r>
      <w:r w:rsidRPr="00E60AAC">
        <w:rPr>
          <w:i/>
        </w:rPr>
        <w:t>ρ</w:t>
      </w:r>
      <w:r>
        <w:t>–</w:t>
      </w:r>
      <w:r w:rsidRPr="00E60AAC">
        <w:rPr>
          <w:i/>
        </w:rPr>
        <w:t>T</w:t>
      </w:r>
      <w:r>
        <w:t xml:space="preserve"> data in the rubbery and glassy regimes. This protocol therefore provides a consistent </w:t>
      </w:r>
      <w:r>
        <w:lastRenderedPageBreak/>
        <w:t xml:space="preserve">simulator-based reference for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and for comparative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analysis, but absolute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agreement with experiment should be interpreted with this rate-induced bias in mind.</w:t>
      </w:r>
    </w:p>
    <w:p w14:paraId="52028079" w14:textId="3F5341F6" w:rsidR="00BA1C60" w:rsidRDefault="00152A3D">
      <w:pPr>
        <w:jc w:val="center"/>
      </w:pPr>
      <w:r>
        <w:rPr>
          <w:noProof/>
        </w:rPr>
        <w:drawing>
          <wp:inline distT="0" distB="0" distL="0" distR="0" wp14:anchorId="7C9E7E04" wp14:editId="250FB688">
            <wp:extent cx="6126480" cy="3020060"/>
            <wp:effectExtent l="0" t="0" r="0" b="8890"/>
            <wp:docPr id="3108625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62531" name="图片 310862531"/>
                    <pic:cNvPicPr/>
                  </pic:nvPicPr>
                  <pic:blipFill>
                    <a:blip r:embed="rId13"/>
                    <a:stretch>
                      <a:fillRect/>
                    </a:stretch>
                  </pic:blipFill>
                  <pic:spPr>
                    <a:xfrm>
                      <a:off x="0" y="0"/>
                      <a:ext cx="6126480" cy="3020060"/>
                    </a:xfrm>
                    <a:prstGeom prst="rect">
                      <a:avLst/>
                    </a:prstGeom>
                  </pic:spPr>
                </pic:pic>
              </a:graphicData>
            </a:graphic>
          </wp:inline>
        </w:drawing>
      </w:r>
    </w:p>
    <w:p w14:paraId="45078E14" w14:textId="0002756D" w:rsidR="00BA1C60" w:rsidRDefault="00A533A0">
      <w:pPr>
        <w:pStyle w:val="FigureCaption"/>
      </w:pPr>
      <w:r>
        <w:t xml:space="preserve">Figure 6. Comprehensive computational workflow for polymer modeling. (a) Hierarchical conformer screening and charge assignment. Initial conformers generated from SMILES by ETKDG are screened with MMFF, after which top candidates undergo DFT geometry optimization and RESP charge fitting for amorphous-cell construction. (b) All-atom MD workflow including energy minimization, NVT/NPT equilibration, and annealing for extraction of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and related dynamic properties.</w:t>
      </w:r>
    </w:p>
    <w:p w14:paraId="42AC238C" w14:textId="77777777" w:rsidR="00814FFC" w:rsidRDefault="00814FFC" w:rsidP="00814FFC">
      <w:pPr>
        <w:pStyle w:val="BodyJustified"/>
      </w:pPr>
      <w:r>
        <w:t xml:space="preserve">To assess predictive reliability beyond the supervised fine-tuning domain, we assembled a heterogeneous external validation set comprising five de novo polymers randomly sampled from the final GA-MMPolymer generation and 25 out-of-distribution (OOD) candidates drawn from the PolyOmics database, an omics-scale polymer computational database developed for simulation-to-real AI applications in polymer science. All 30 candidates were evaluated with the physics-based workflow described above to obtain simulator-based reference properties. As summarized in Figure 7a and Figure 7b,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predictions remain in close agreement with the simulator-based references across both de novo and OOD candidates.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predictions show a consistent negative offset relative to the MD-derived benchmarks, with an average underestimation of approximately 56 K, consistent with the expected domain shift between the experimental training labels and the nonequilibrium MD cooling protocol (20 K ns⁻¹) used to generate the external references. Importantly, both candidate classes preserve ranking fidelity and trend consistency, confirming that the surrogate generalizes to unseen chemistries including those produced by the genetic algorithm itself.</w:t>
      </w:r>
      <w:r>
        <w:t xml:space="preserve"> This robust generalization is partially attributable to the confidence-bounded surrogate guidance (CBSG) mechanism, which actively filters candidates whose fragment fingerprints fall below a Tanimoto similarity of 0.4 to the training domain during optimization. By steering the search toward regions where MMPolymer's predictions remain reliable, CBSG ensures the final population lies within the surrogate's applicability domain, preserving ranking fidelity even for de novo candidates.</w:t>
      </w:r>
    </w:p>
    <w:p w14:paraId="036B495F" w14:textId="7798F998" w:rsidR="00BA1C60" w:rsidRDefault="000E19DB">
      <w:pPr>
        <w:jc w:val="center"/>
      </w:pPr>
      <w:r>
        <w:rPr>
          <w:noProof/>
        </w:rPr>
        <w:lastRenderedPageBreak/>
        <w:drawing>
          <wp:inline distT="0" distB="0" distL="0" distR="0" wp14:anchorId="626E8C1C" wp14:editId="6CEB193E">
            <wp:extent cx="6126480" cy="2585085"/>
            <wp:effectExtent l="0" t="0" r="7620" b="5715"/>
            <wp:docPr id="496413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13594" name="图片 496413594"/>
                    <pic:cNvPicPr/>
                  </pic:nvPicPr>
                  <pic:blipFill>
                    <a:blip r:embed="rId14"/>
                    <a:stretch>
                      <a:fillRect/>
                    </a:stretch>
                  </pic:blipFill>
                  <pic:spPr>
                    <a:xfrm>
                      <a:off x="0" y="0"/>
                      <a:ext cx="6126480" cy="2585085"/>
                    </a:xfrm>
                    <a:prstGeom prst="rect">
                      <a:avLst/>
                    </a:prstGeom>
                  </pic:spPr>
                </pic:pic>
              </a:graphicData>
            </a:graphic>
          </wp:inline>
        </w:drawing>
      </w:r>
    </w:p>
    <w:p w14:paraId="0F71E175" w14:textId="737C26A6" w:rsidR="00DD71C0" w:rsidRDefault="00DD71C0" w:rsidP="00DD71C0">
      <w:pPr>
        <w:pStyle w:val="FigureCaption"/>
      </w:pPr>
      <w:r>
        <w:t xml:space="preserve">Figure 7. Physics-based assessment of MMPolymer predictions for the external validation set, with inset structures of representative de novo candidates. (a) Comparison between predicted and simulator-assessed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highlighting a systematic offset relative to the MD-derived references that is consistent with experiment-to-simulation mismatch in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(shaded blue region). The inset shows Polymer A, a representative design emphasizing thermal stability. (b) Comparison between predicted and simulator-assessed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for the same external validation set. The inset shows Polymer B, a representative design emphasizing dielectric suppression.</w:t>
      </w:r>
    </w:p>
    <w:p w14:paraId="36FC09C3" w14:textId="77777777" w:rsidR="00721035" w:rsidRDefault="00721035" w:rsidP="00721035">
      <w:pPr>
        <w:pStyle w:val="BodyJustified"/>
        <w:rPr>
          <w:lang w:eastAsia="zh-CN"/>
        </w:rPr>
      </w:pPr>
      <w:r>
        <w:rPr>
          <w:lang w:eastAsia="zh-CN"/>
        </w:rPr>
        <w:t>To illustrate the chemical rationality and design diversity of the GA-generated candidates, we highlight the two representative de novo polymers shown as insets in Figure 7: Polymer A, shown as the inset in Figure 7a, emphasizes thermal stability, whereas Polymer B, shown as the inset in Figure 7b, emphasizes dielectric suppression.</w:t>
      </w:r>
    </w:p>
    <w:p w14:paraId="2CAC939F" w14:textId="037709E8" w:rsidR="00E60AAC" w:rsidRDefault="00E60AAC" w:rsidP="00E60AAC">
      <w:pPr>
        <w:pStyle w:val="BodyJustified"/>
        <w:rPr>
          <w:lang w:eastAsia="zh-CN"/>
        </w:rPr>
      </w:pPr>
      <w:r>
        <w:rPr>
          <w:lang w:eastAsia="zh-CN"/>
        </w:rPr>
        <w:t xml:space="preserve">Polymer A (P-SMILES: *c1ccc(-c2ccc(C(*)(C)C(F)(F)F)cc2)c(F)c1), shown as the inset structure in Figure 7a, adopts an orthogonal "rigid-backbone/low-polarizability pendant" strategy. The directly linked biphenyl backbone imposes a high rotational energy barrier, resulting in pronounced chain stiffness and a correspondingly elevated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rPr>
          <w:lang w:eastAsia="zh-CN"/>
        </w:rPr>
        <w:t>. Meanwhile, the trifluoromethyl (-CF₃) group and ring-fluorine substituent suppress electronic polarizability, as the highly electronegative fluorine atoms tightly confine the surrounding electron density and reduce its response to an external electric field. This design philosophy closely parallels that of established high-performance dielectric materials, such as 6FDA-based polyimides, which similarly exploit fluorinated moieties to preserve high-</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rPr>
          <w:lang w:eastAsia="zh-CN"/>
        </w:rPr>
        <w:t xml:space="preserve"> performance while also helping to control dielectric response.</w:t>
      </w:r>
    </w:p>
    <w:p w14:paraId="2E54B919" w14:textId="137939D6" w:rsidR="00E60AAC" w:rsidRDefault="00E60AAC" w:rsidP="00E60AAC">
      <w:pPr>
        <w:pStyle w:val="BodyJustified"/>
        <w:rPr>
          <w:lang w:eastAsia="zh-CN"/>
        </w:rPr>
      </w:pPr>
      <w:r>
        <w:rPr>
          <w:rFonts w:hint="eastAsia"/>
          <w:lang w:eastAsia="zh-CN"/>
        </w:rPr>
        <w:t>Polymer B (P-SMILES: */C(C#N)=C(\c1ccccc1)c1ccc(*)cc1CCCCCCCCC), shown as the inset structure in Figure 7b, follows a "dipole dilution" strategy. The cyano group (-C</w:t>
      </w:r>
      <w:r>
        <w:rPr>
          <w:rFonts w:hint="eastAsia"/>
          <w:lang w:eastAsia="zh-CN"/>
        </w:rPr>
        <w:t>≡</w:t>
      </w:r>
      <w:r>
        <w:rPr>
          <w:rFonts w:hint="eastAsia"/>
          <w:lang w:eastAsia="zh-CN"/>
        </w:rPr>
        <w:t>N) on the backbone introduces a strong local dipole moment along with conformational rigi</w:t>
      </w:r>
      <w:r>
        <w:rPr>
          <w:lang w:eastAsia="zh-CN"/>
        </w:rPr>
        <w:t>dity; however, the long pendant nonyl chain (-C₉H₁₉) substantially increases the repeat-unit molar volume, thereby reducing the volumetric dipole density and suppressing orientational polarization. This design rationale mirrors classical copolymer principles in which non-polar aliphatic segments are deliberately incorporated to lower the overall dielectric response. This example highlights a low-permittivity design route.</w:t>
      </w:r>
    </w:p>
    <w:p w14:paraId="0922623A" w14:textId="77777777" w:rsidR="00814FFC" w:rsidRDefault="00814FFC" w:rsidP="00814FFC">
      <w:pPr>
        <w:pStyle w:val="BodyJustified"/>
        <w:rPr>
          <w:lang w:eastAsia="zh-CN"/>
        </w:rPr>
      </w:pPr>
      <w:r>
        <w:t>Notably, high-</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polymers present in the out-of-distribution (OOD) evaluation set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&gt; 600 K) universally exhibit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values exceeding 2.7, as these structures rely heavily on dense heteroaromatic moieties (e.g., benzoxazole, imide, and oxadiazole linkages) that inherently possess high electronic polarizability. In </w:t>
      </w:r>
      <w:r>
        <w:lastRenderedPageBreak/>
        <w:t xml:space="preserve">contrast, Polymer A illustrates a design route that preserves thermal stability through a rigid fluorinated aromatic framework, whereas Polymer B emphasizes dielectric suppression through dipole dilution. These examples demonstrate that GA-MMPolymer navigates chemically meaningful trade-offs and uncovers multiple design routes toward balancing low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with thermal stability.</w:t>
      </w:r>
      <w:r>
        <w:t xml:space="preserve"> The confidence-bounded surrogate guidance (CBSG) mechanism ensures the GA does not chase unreliable predictions: by enforcing a domain-confidence threshold throughout optimization, CBSG prevents selection based on out-of-distribution extrapolations, yielding a Pareto front whose members are both high-performing and within MMPolymer's reliable prediction regime.</w:t>
      </w:r>
    </w:p>
    <w:p w14:paraId="36532609" w14:textId="46781DF7" w:rsidR="00BA1C60" w:rsidRDefault="00A533A0">
      <w:pPr>
        <w:pStyle w:val="SectionHead"/>
      </w:pPr>
      <w:r>
        <w:rPr>
          <w:b w:val="0"/>
        </w:rPr>
        <w:t>Conclusion</w:t>
      </w:r>
    </w:p>
    <w:p>
      <w:pPr>
        <w:pStyle w:val="BodyJustified"/>
      </w:pPr>
      <w:r>
        <w:t>In this study, we developed GA-MMPolymer, a closed-loop inverse-design framework that integrates multimodal representation learning with a Structure-Guided Evolutionary Framework (SGEF) for functional polymer discovery. By jointly encoding one-dimensional chemical semantics and three-dimensional conformational information, MMPolymer improves prediction of geometry-sensitive properties relative to unimodal baselines. Guided by this surrogate, SGEF—comprising conformation-guided fragment mutation (CFM), diversity-preserving environmental selection (DPES), a hierarchical co-evolutionary architecture (HCEA), and confidence-bounded surrogate guidance (CBSG)—efficiently explores a vast polymer design space and identifies a Pareto-optimal family of synthetically plausible candidates that balance thermal stability against low dielectric response. In particular, the framework enriches candidates in the target region defined by $T_g$ &gt; 260 °C and $\varepsilon_r$ &lt; 2.8, and the most promising examples are further examined with a consistent DFT/all-atom MD workflow.</w:t>
      </w:r>
    </w:p>
    <w:p>
      <w:pPr>
        <w:pStyle w:val="BodyJustified"/>
      </w:pPr>
      <w:r>
        <w:t>Beyond the specific discovery of low-$\varepsilon_r$ polymer dielectrics, this work provides a data-driven perspective on polymer design in high-dimensional chemical space through the SGEF architecture. Analysis of the top-performing candidates suggests that the multimodal framework, coupled with SGEF's directed mutation and diversity-preserving selection, can identify nontrivial structural motifs—such as sterically constrained conjugated backbones paired with low-polarizability pendants—that balance rigidity and free-volume requirements in ways not easily anticipated by intuition alone. More broadly, the results illustrate how coupled intramolecular and intermolecular effects can be negotiated in a coordinated optimization workflow rather than addressed as isolated design compromises.</w:t>
      </w:r>
    </w:p>
    <w:p>
      <w:pPr>
        <w:pStyle w:val="BodyJustified"/>
      </w:pPr>
      <w:r>
        <w:t>Several limitations should nevertheless be acknowledged. First, the present study relies primarily on computational assessment and heuristic synthetic-accessibility estimates; experimental verification remains essential for confirming polymerizability, processability, and device-level dielectric performance. Second, although the hybrid data strategy improves predictive realism for each target property, future models would benefit from tighter integration of uncertainty quantification, synthesis constraints, and experimentally resolved microstructural descriptors. Third, the conformation-guided fragment mutation (CFM) depends on the success rate of 3D conformer generation for each fragment, which is approximately 60% for the BRICS fragment library used here; fragments that fail to produce valid low-energy conformers revert to random substitution, reducing the effective coverage of mutation space. Future work could improve this through learned fragment embedding spaces that bypass explicit geometry generation or through improved conformer sampling algorithms. Looking ahead, a particularly promising direction is to couple GA-MMPolymer with automated high-throughput synthesis and characterization platforms, thereby closing the design-make-test-learn loop in a genuinely autonomous manner. More broadly, the architecture introduced here is readily extensible to other polymer design problems governed by competing objectives, such as solid-state polymer electrolytes balancing ionic conductivity, electrochemical stability, and mechanical integrity, and to other multi-objective polymer discovery campaigns.</w:t>
      </w:r>
    </w:p>
    <w:p w14:paraId="1EAAC665" w14:textId="5DAD9D1A" w:rsidR="00BA1C60" w:rsidRDefault="00BA1C60">
      <w:pPr>
        <w:pStyle w:val="BodyJustified"/>
      </w:pPr>
    </w:p>
    <w:sectPr w:rsidR="00BA1C60" w:rsidSect="00034616">
      <w:pgSz w:w="12240" w:h="15840"/>
      <w:pgMar w:top="1224" w:right="1296" w:bottom="122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EB8E5" w14:textId="77777777" w:rsidR="00437D88" w:rsidRDefault="00437D88" w:rsidP="001F0616">
      <w:pPr>
        <w:spacing w:after="0" w:line="240" w:lineRule="auto"/>
      </w:pPr>
      <w:r>
        <w:separator/>
      </w:r>
    </w:p>
  </w:endnote>
  <w:endnote w:type="continuationSeparator" w:id="0">
    <w:p w14:paraId="1D881245" w14:textId="77777777" w:rsidR="00437D88" w:rsidRDefault="00437D88" w:rsidP="001F0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04FD4" w14:textId="77777777" w:rsidR="00437D88" w:rsidRDefault="00437D88" w:rsidP="001F0616">
      <w:pPr>
        <w:spacing w:after="0" w:line="240" w:lineRule="auto"/>
      </w:pPr>
      <w:r>
        <w:separator/>
      </w:r>
    </w:p>
  </w:footnote>
  <w:footnote w:type="continuationSeparator" w:id="0">
    <w:p w14:paraId="359BDA35" w14:textId="77777777" w:rsidR="00437D88" w:rsidRDefault="00437D88" w:rsidP="001F06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90092388">
    <w:abstractNumId w:val="8"/>
  </w:num>
  <w:num w:numId="2" w16cid:durableId="60834059">
    <w:abstractNumId w:val="6"/>
  </w:num>
  <w:num w:numId="3" w16cid:durableId="1616868538">
    <w:abstractNumId w:val="5"/>
  </w:num>
  <w:num w:numId="4" w16cid:durableId="2123842884">
    <w:abstractNumId w:val="4"/>
  </w:num>
  <w:num w:numId="5" w16cid:durableId="1056734362">
    <w:abstractNumId w:val="7"/>
  </w:num>
  <w:num w:numId="6" w16cid:durableId="2078625334">
    <w:abstractNumId w:val="3"/>
  </w:num>
  <w:num w:numId="7" w16cid:durableId="419372284">
    <w:abstractNumId w:val="2"/>
  </w:num>
  <w:num w:numId="8" w16cid:durableId="2048136461">
    <w:abstractNumId w:val="1"/>
  </w:num>
  <w:num w:numId="9" w16cid:durableId="323898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502"/>
    <w:rsid w:val="00034616"/>
    <w:rsid w:val="0006063C"/>
    <w:rsid w:val="000E19DB"/>
    <w:rsid w:val="000F2F04"/>
    <w:rsid w:val="0015074B"/>
    <w:rsid w:val="00152A3D"/>
    <w:rsid w:val="00156231"/>
    <w:rsid w:val="001D5F15"/>
    <w:rsid w:val="001E2AF7"/>
    <w:rsid w:val="001F0616"/>
    <w:rsid w:val="0029639D"/>
    <w:rsid w:val="002E4CB5"/>
    <w:rsid w:val="00326F90"/>
    <w:rsid w:val="00341F2D"/>
    <w:rsid w:val="00434F43"/>
    <w:rsid w:val="00437D88"/>
    <w:rsid w:val="00447020"/>
    <w:rsid w:val="004D517B"/>
    <w:rsid w:val="004E1CBA"/>
    <w:rsid w:val="004E5C87"/>
    <w:rsid w:val="005056DD"/>
    <w:rsid w:val="00535F33"/>
    <w:rsid w:val="00584B59"/>
    <w:rsid w:val="005A2D46"/>
    <w:rsid w:val="005A3A34"/>
    <w:rsid w:val="005B3B58"/>
    <w:rsid w:val="0061420A"/>
    <w:rsid w:val="0066505C"/>
    <w:rsid w:val="006C5C3A"/>
    <w:rsid w:val="006E30B6"/>
    <w:rsid w:val="00715D4C"/>
    <w:rsid w:val="00721035"/>
    <w:rsid w:val="00770ECA"/>
    <w:rsid w:val="00785375"/>
    <w:rsid w:val="00814FFC"/>
    <w:rsid w:val="0086291E"/>
    <w:rsid w:val="00886A4E"/>
    <w:rsid w:val="008E4811"/>
    <w:rsid w:val="00960B10"/>
    <w:rsid w:val="00974FBF"/>
    <w:rsid w:val="00A533A0"/>
    <w:rsid w:val="00A93B3B"/>
    <w:rsid w:val="00AA1D8D"/>
    <w:rsid w:val="00B47730"/>
    <w:rsid w:val="00B57D84"/>
    <w:rsid w:val="00BA1C60"/>
    <w:rsid w:val="00CA0370"/>
    <w:rsid w:val="00CB0664"/>
    <w:rsid w:val="00CC3EDC"/>
    <w:rsid w:val="00D13038"/>
    <w:rsid w:val="00D348EB"/>
    <w:rsid w:val="00DD71C0"/>
    <w:rsid w:val="00E60AAC"/>
    <w:rsid w:val="00E618A2"/>
    <w:rsid w:val="00EE7836"/>
    <w:rsid w:val="00F307B1"/>
    <w:rsid w:val="00F45040"/>
    <w:rsid w:val="00F57652"/>
    <w:rsid w:val="00F72086"/>
    <w:rsid w:val="00F93CE2"/>
    <w:rsid w:val="00FA39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05838B"/>
  <w14:defaultImageDpi w14:val="300"/>
  <w15:docId w15:val="{DF25BD7D-4284-4F91-ACAE-1C4D5B352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 Title"/>
    <w:pPr>
      <w:spacing w:after="280"/>
      <w:jc w:val="center"/>
    </w:pPr>
    <w:rPr>
      <w:rFonts w:ascii="Times New Roman" w:hAnsi="Times New Roman"/>
      <w:b/>
      <w:sz w:val="32"/>
    </w:rPr>
  </w:style>
  <w:style w:type="paragraph" w:customStyle="1" w:styleId="SectionHead">
    <w:name w:val="Section Head"/>
    <w:pPr>
      <w:spacing w:before="200" w:after="120"/>
    </w:pPr>
    <w:rPr>
      <w:rFonts w:ascii="Times New Roman" w:hAnsi="Times New Roman"/>
      <w:b/>
      <w:sz w:val="25"/>
    </w:rPr>
  </w:style>
  <w:style w:type="paragraph" w:customStyle="1" w:styleId="BodyJustified">
    <w:name w:val="Body Justified"/>
    <w:pPr>
      <w:spacing w:after="160"/>
      <w:jc w:val="both"/>
    </w:pPr>
    <w:rPr>
      <w:rFonts w:ascii="Times New Roman" w:hAnsi="Times New Roman"/>
    </w:rPr>
  </w:style>
  <w:style w:type="paragraph" w:customStyle="1" w:styleId="FigureCaption">
    <w:name w:val="Figure Caption"/>
    <w:pPr>
      <w:spacing w:line="252" w:lineRule="auto"/>
      <w:jc w:val="center"/>
    </w:pPr>
    <w:rPr>
      <w:rFonts w:ascii="Times New Roman" w:hAnsi="Times New Roman"/>
      <w:sz w:val="19"/>
    </w:rPr>
  </w:style>
  <w:style w:type="paragraph" w:customStyle="1" w:styleId="EquationStyle">
    <w:name w:val="Equation Style"/>
    <w:pPr>
      <w:spacing w:before="80" w:after="160" w:line="240" w:lineRule="auto"/>
      <w:jc w:val="center"/>
    </w:pPr>
    <w:rPr>
      <w:rFonts w:ascii="Times New Roman"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t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ti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tif"/><Relationship Id="rId14" Type="http://schemas.openxmlformats.org/officeDocument/2006/relationships/image" Target="media/image7.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10</Pages>
  <Words>3475</Words>
  <Characters>23144</Characters>
  <Application>Microsoft Office Word</Application>
  <DocSecurity>0</DocSecurity>
  <Lines>278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GA-MMPolymer manuscript draft</dc:title>
  <dc:subject>Edited manuscript draft</dc:subject>
  <dc:creator>OpenAI</dc:creator>
  <cp:keywords/>
  <dc:description>generated by python-docx</dc:description>
  <cp:lastModifiedBy>Yu Zeng</cp:lastModifiedBy>
  <cp:revision>19</cp:revision>
  <dcterms:created xsi:type="dcterms:W3CDTF">2026-03-27T08:35:00Z</dcterms:created>
  <dcterms:modified xsi:type="dcterms:W3CDTF">2026-03-30T10:08:00Z</dcterms:modified>
  <cp:category/>
</cp:coreProperties>
</file>