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037330B8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 xml:space="preserve">Проектирование </w:t>
      </w:r>
      <w:r w:rsidR="00173991">
        <w:rPr>
          <w:rFonts w:ascii="Times New Roman" w:hAnsi="Times New Roman" w:cs="Times New Roman"/>
          <w:spacing w:val="20"/>
        </w:rPr>
        <w:t xml:space="preserve">и архитектура </w:t>
      </w:r>
      <w:r>
        <w:rPr>
          <w:rFonts w:ascii="Times New Roman" w:hAnsi="Times New Roman" w:cs="Times New Roman"/>
          <w:spacing w:val="20"/>
        </w:rPr>
        <w:t>программного обеспечения</w:t>
      </w:r>
    </w:p>
    <w:p w14:paraId="51372666" w14:textId="2F0A426F" w:rsidR="00E71930" w:rsidRPr="00974C61" w:rsidRDefault="00DD3257">
      <w:pPr>
        <w:jc w:val="center"/>
        <w:rPr>
          <w:lang w:val="en-US"/>
        </w:rPr>
      </w:pPr>
      <w:r w:rsidRPr="00974C61">
        <w:rPr>
          <w:rFonts w:ascii="Times New Roman" w:hAnsi="Times New Roman" w:cs="Times New Roman"/>
          <w:spacing w:val="20"/>
          <w:lang w:val="en-US"/>
        </w:rPr>
        <w:t xml:space="preserve">Software 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Architecture </w:t>
      </w:r>
      <w:r w:rsidR="00E0491C">
        <w:rPr>
          <w:rFonts w:ascii="Times New Roman" w:hAnsi="Times New Roman" w:cs="Times New Roman"/>
          <w:spacing w:val="20"/>
          <w:lang w:val="en-US"/>
        </w:rPr>
        <w:t>a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nd </w:t>
      </w:r>
      <w:r w:rsidRPr="00974C61">
        <w:rPr>
          <w:rFonts w:ascii="Times New Roman" w:hAnsi="Times New Roman" w:cs="Times New Roman"/>
          <w:spacing w:val="20"/>
          <w:lang w:val="en-US"/>
        </w:rPr>
        <w:t>Design</w:t>
      </w:r>
    </w:p>
    <w:p w14:paraId="4BC905F3" w14:textId="77777777" w:rsidR="00E71930" w:rsidRPr="00974C61" w:rsidRDefault="00DD3257">
      <w:pPr>
        <w:jc w:val="center"/>
        <w:rPr>
          <w:lang w:val="en-US"/>
        </w:rPr>
      </w:pPr>
      <w:r w:rsidRPr="00974C61">
        <w:rPr>
          <w:rFonts w:ascii="Times New Roman" w:hAnsi="Times New Roman" w:cs="Times New Roman"/>
          <w:spacing w:val="20"/>
          <w:lang w:val="en-US"/>
        </w:rPr>
        <w:br/>
      </w:r>
    </w:p>
    <w:p w14:paraId="79F60E85" w14:textId="77777777" w:rsidR="00E71930" w:rsidRPr="00974C61" w:rsidRDefault="00DD325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974C61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974C61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6F97FCF3" w14:textId="77777777" w:rsidR="00E71930" w:rsidRPr="00974C61" w:rsidRDefault="00DD3257">
      <w:pPr>
        <w:jc w:val="center"/>
        <w:rPr>
          <w:lang w:val="en-US"/>
        </w:rPr>
      </w:pPr>
      <w:r w:rsidRPr="00974C61">
        <w:rPr>
          <w:rFonts w:ascii="Times New Roman" w:hAnsi="Times New Roman" w:cs="Times New Roman"/>
          <w:b/>
          <w:lang w:val="en-US"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635F0EDA" w:rsidR="00E71930" w:rsidRPr="00974C61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</w:t>
      </w:r>
      <w:r w:rsidR="00E0491C" w:rsidRPr="00974C6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</w:t>
      </w:r>
      <w:r w:rsidR="00E0491C" w:rsidRPr="00974C61">
        <w:rPr>
          <w:rFonts w:ascii="Times New Roman" w:hAnsi="Times New Roman" w:cs="Times New Roman"/>
        </w:rPr>
        <w:t>669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372F070A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201</w:t>
      </w:r>
      <w:r w:rsidR="00166740">
        <w:rPr>
          <w:rFonts w:ascii="Times New Roman" w:hAnsi="Times New Roman" w:cs="Times New Roman"/>
        </w:rPr>
        <w:t>8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09A68063" w:rsidR="00384317" w:rsidRPr="00A95BE9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A95BE9">
        <w:rPr>
          <w:rFonts w:ascii="Times New Roman" w:hAnsi="Times New Roman" w:cs="Times New Roman"/>
        </w:rPr>
        <w:t>:</w:t>
      </w:r>
    </w:p>
    <w:p w14:paraId="5B25DA9F" w14:textId="320D58DF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 w:cs="Times New Roman"/>
        </w:rPr>
        <w:t>;</w:t>
      </w:r>
    </w:p>
    <w:p w14:paraId="5640E9DD" w14:textId="13D2B972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="00DD3257" w:rsidRPr="00384317">
        <w:rPr>
          <w:rFonts w:ascii="Times New Roman" w:hAnsi="Times New Roman" w:cs="Times New Roman"/>
        </w:rPr>
        <w:t>распределённых приложений</w:t>
      </w:r>
      <w:r>
        <w:rPr>
          <w:rFonts w:ascii="Times New Roman" w:hAnsi="Times New Roman" w:cs="Times New Roman"/>
        </w:rPr>
        <w:t>;</w:t>
      </w:r>
    </w:p>
    <w:p w14:paraId="1358B6E7" w14:textId="2CB9B323" w:rsidR="00384317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DD3257" w:rsidRPr="00384317">
        <w:rPr>
          <w:rFonts w:ascii="Times New Roman" w:hAnsi="Times New Roman" w:cs="Times New Roman"/>
        </w:rPr>
        <w:t>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>
        <w:rPr>
          <w:rFonts w:ascii="Times New Roman" w:hAnsi="Times New Roman" w:cs="Times New Roman"/>
        </w:rPr>
        <w:t>;</w:t>
      </w:r>
    </w:p>
    <w:p w14:paraId="4D6D79CF" w14:textId="432AD3D7" w:rsidR="00E71930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олучение представления о языке UML и других формальных языках как основных средствах описания архитектуры </w:t>
      </w:r>
      <w:r w:rsidR="00A22FC2">
        <w:rPr>
          <w:rFonts w:ascii="Times New Roman" w:hAnsi="Times New Roman" w:cs="Times New Roman"/>
        </w:rPr>
        <w:t>программного обеспечения</w:t>
      </w:r>
      <w:r w:rsidR="00DD3257"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CCB7E1A" w:rsidR="00E71930" w:rsidRDefault="00DD3257" w:rsidP="00D452E3">
      <w:pPr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студентов </w:t>
      </w:r>
      <w:r w:rsidR="00A95BE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 бакалавриата, освоивших программу курсов «</w:t>
      </w:r>
      <w:r w:rsidR="00A95BE9">
        <w:rPr>
          <w:rFonts w:ascii="Times New Roman" w:hAnsi="Times New Roman" w:cs="Times New Roman"/>
        </w:rPr>
        <w:t>Основы программирования</w:t>
      </w:r>
      <w:r>
        <w:rPr>
          <w:rFonts w:ascii="Times New Roman" w:hAnsi="Times New Roman" w:cs="Times New Roman"/>
        </w:rPr>
        <w:t>» и «</w:t>
      </w:r>
      <w:r w:rsidR="00A95BE9">
        <w:rPr>
          <w:rFonts w:ascii="Times New Roman" w:hAnsi="Times New Roman" w:cs="Times New Roman"/>
        </w:rPr>
        <w:t>Практикум на ЭВМ</w:t>
      </w:r>
      <w:r>
        <w:rPr>
          <w:rFonts w:ascii="Times New Roman" w:hAnsi="Times New Roman" w:cs="Times New Roman"/>
        </w:rPr>
        <w:t>» (или аналогичных им).</w:t>
      </w:r>
      <w:r w:rsidR="00A95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16E1CD40" w:rsidR="00D452E3" w:rsidRPr="00D452E3" w:rsidRDefault="00A95BE9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 w:cs="Times New Roman"/>
        </w:rPr>
        <w:t>;</w:t>
      </w:r>
    </w:p>
    <w:p w14:paraId="2568D0D8" w14:textId="1B7DE3A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з</w:t>
      </w:r>
      <w:r w:rsidR="00DD3257" w:rsidRPr="00D452E3">
        <w:rPr>
          <w:rFonts w:ascii="Times New Roman" w:hAnsi="Times New Roman" w:cs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 w:cs="Times New Roman"/>
        </w:rPr>
        <w:t>;</w:t>
      </w:r>
    </w:p>
    <w:p w14:paraId="4120B713" w14:textId="0F511167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 w:cs="Times New Roman"/>
        </w:rPr>
        <w:t>;</w:t>
      </w:r>
    </w:p>
    <w:p w14:paraId="1F1C2E1E" w14:textId="6BE1A06F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 w:cs="Times New Roman"/>
        </w:rPr>
        <w:t>;</w:t>
      </w:r>
    </w:p>
    <w:p w14:paraId="1722030D" w14:textId="749E584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 w:cs="Times New Roman"/>
        </w:rPr>
        <w:t>;</w:t>
      </w:r>
    </w:p>
    <w:p w14:paraId="0EDBCE83" w14:textId="1A22D3E1" w:rsidR="00D452E3" w:rsidRPr="00116FC7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64A14DA8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14:paraId="1B2D2470" w14:textId="452715F6" w:rsid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14:paraId="07825331" w14:textId="6EC3FE3F" w:rsidR="00A95BE9" w:rsidRPr="00A95BE9" w:rsidRDefault="00A95BE9" w:rsidP="00D00AE5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95BE9">
        <w:rPr>
          <w:rFonts w:ascii="Times New Roman" w:hAnsi="Times New Roman" w:cs="Times New Roman"/>
        </w:rPr>
        <w:t>ПК-6 – уметь формализовать предметную область программного проекта и разработать спецификации для компонентов</w:t>
      </w:r>
      <w:r>
        <w:rPr>
          <w:rFonts w:ascii="Times New Roman" w:hAnsi="Times New Roman" w:cs="Times New Roman"/>
        </w:rPr>
        <w:t xml:space="preserve"> </w:t>
      </w:r>
      <w:r w:rsidRPr="00A95BE9">
        <w:rPr>
          <w:rFonts w:ascii="Times New Roman" w:hAnsi="Times New Roman" w:cs="Times New Roman"/>
        </w:rPr>
        <w:t>программного продукта</w:t>
      </w:r>
      <w:r>
        <w:rPr>
          <w:rFonts w:ascii="Times New Roman" w:hAnsi="Times New Roman" w:cs="Times New Roman"/>
        </w:rPr>
        <w:t>;</w:t>
      </w:r>
    </w:p>
    <w:p w14:paraId="1699D4F7" w14:textId="2C0CD085" w:rsidR="00A95BE9" w:rsidRDefault="00A95BE9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ПК-19 – </w:t>
      </w:r>
      <w:r w:rsidRPr="00A95BE9">
        <w:rPr>
          <w:rFonts w:ascii="Times New Roman" w:hAnsi="Times New Roman" w:cs="Times New Roman"/>
        </w:rPr>
        <w:t>понимать стандарты и модели жизненного цикла программного обеспечени</w:t>
      </w:r>
      <w:r>
        <w:rPr>
          <w:rFonts w:ascii="Times New Roman" w:hAnsi="Times New Roman" w:cs="Times New Roman"/>
        </w:rPr>
        <w:t>я;</w:t>
      </w:r>
    </w:p>
    <w:p w14:paraId="377D4C6D" w14:textId="47CBEA02" w:rsidR="00A95BE9" w:rsidRDefault="00A95BE9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ПК-22 – </w:t>
      </w:r>
      <w:r w:rsidRPr="00A95BE9">
        <w:rPr>
          <w:rFonts w:ascii="Times New Roman" w:hAnsi="Times New Roman" w:cs="Times New Roman"/>
        </w:rPr>
        <w:t>понимать классические концепции и модели менеджмента в управлении проектами</w:t>
      </w:r>
      <w:r>
        <w:rPr>
          <w:rFonts w:ascii="Times New Roman" w:hAnsi="Times New Roman" w:cs="Times New Roman"/>
        </w:rPr>
        <w:t>;</w:t>
      </w:r>
    </w:p>
    <w:p w14:paraId="3CE4C507" w14:textId="6FFA618C" w:rsidR="00A95BE9" w:rsidRDefault="00A95BE9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ПК-25 – </w:t>
      </w:r>
      <w:r w:rsidRPr="00A95BE9">
        <w:rPr>
          <w:rFonts w:ascii="Times New Roman" w:hAnsi="Times New Roman" w:cs="Times New Roman"/>
        </w:rPr>
        <w:t>понимать методы контроля проекта и уметь осуществлять контроль версий</w:t>
      </w:r>
      <w:r>
        <w:rPr>
          <w:rFonts w:ascii="Times New Roman" w:hAnsi="Times New Roman" w:cs="Times New Roman"/>
        </w:rPr>
        <w:t>;</w:t>
      </w:r>
    </w:p>
    <w:p w14:paraId="5DABF09B" w14:textId="27F66A0A" w:rsidR="00116FC7" w:rsidRPr="00A95BE9" w:rsidRDefault="00A95BE9" w:rsidP="00DF402D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95BE9">
        <w:rPr>
          <w:rFonts w:ascii="Times New Roman" w:hAnsi="Times New Roman" w:cs="Times New Roman"/>
        </w:rPr>
        <w:t>ПК-27 – понимать особенности эволюционной деятельности, как с технической точки зрения, так и с точки зрения бизнеса (работа с</w:t>
      </w:r>
      <w:r>
        <w:rPr>
          <w:rFonts w:ascii="Times New Roman" w:hAnsi="Times New Roman" w:cs="Times New Roman"/>
        </w:rPr>
        <w:t xml:space="preserve"> </w:t>
      </w:r>
      <w:r w:rsidRPr="00A95BE9">
        <w:rPr>
          <w:rFonts w:ascii="Times New Roman" w:hAnsi="Times New Roman" w:cs="Times New Roman"/>
        </w:rPr>
        <w:t>унаследованными системами, возвратное проектирование, реинжиниринг, миграцию и рефакторинг)</w:t>
      </w:r>
      <w:r>
        <w:rPr>
          <w:rFonts w:ascii="Times New Roman" w:hAnsi="Times New Roman" w:cs="Times New Roman"/>
        </w:rPr>
        <w:t>.</w:t>
      </w:r>
    </w:p>
    <w:p w14:paraId="6100BC1F" w14:textId="77777777" w:rsidR="00A95BE9" w:rsidRPr="00A95BE9" w:rsidRDefault="00A95BE9" w:rsidP="00A95BE9">
      <w:pPr>
        <w:jc w:val="both"/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19358513" w14:textId="353EF9DA" w:rsidR="00971208" w:rsidRDefault="00971208" w:rsidP="00FA00E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Практические занятия – 10 академических часов.</w:t>
      </w:r>
    </w:p>
    <w:p w14:paraId="60FE78D3" w14:textId="23B606F4" w:rsidR="00E71930" w:rsidRDefault="00DD3257" w:rsidP="00FA00E1">
      <w:pPr>
        <w:ind w:firstLine="720"/>
        <w:jc w:val="both"/>
      </w:pPr>
      <w:r>
        <w:rPr>
          <w:rFonts w:ascii="Times New Roman" w:hAnsi="Times New Roman" w:cs="Times New Roman"/>
        </w:rPr>
        <w:t xml:space="preserve">Основной формой обучения проектированию программного обеспечения являются лекционные </w:t>
      </w:r>
      <w:r w:rsidR="00FA00E1">
        <w:rPr>
          <w:rFonts w:ascii="Times New Roman" w:hAnsi="Times New Roman" w:cs="Times New Roman"/>
        </w:rPr>
        <w:t xml:space="preserve">и практические </w:t>
      </w:r>
      <w:r>
        <w:rPr>
          <w:rFonts w:ascii="Times New Roman" w:hAnsi="Times New Roman" w:cs="Times New Roman"/>
        </w:rPr>
        <w:t>занятия в аудитории.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5D71D4AC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2F8C48A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2B9846C5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0BDFBA2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4DA0D828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10FD0A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62E1292A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0E8D013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55BBFA69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A95BE9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3401006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6F0D5EDD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0C6F3334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52CB0690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0F4856B6" w:rsidR="00FA3F93" w:rsidRPr="00552C40" w:rsidRDefault="005666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292C85C5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24824CBF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210C199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19B0A812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686E6D2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54FEBE9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 w:rsidR="003A4DE4" w:rsidRPr="003A4DE4" w14:paraId="3D7F92C8" w14:textId="77777777" w:rsidTr="003A4DE4">
        <w:trPr>
          <w:trHeight w:val="50"/>
        </w:trPr>
        <w:tc>
          <w:tcPr>
            <w:tcW w:w="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B074D9" w14:textId="77777777" w:rsidR="003A4DE4" w:rsidRPr="003A4DE4" w:rsidRDefault="003A4DE4" w:rsidP="004E0E04">
            <w:pPr>
              <w:jc w:val="center"/>
              <w:rPr>
                <w:bCs/>
                <w:sz w:val="20"/>
                <w:szCs w:val="20"/>
              </w:rPr>
            </w:pPr>
            <w:r w:rsidRPr="003A4DE4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3A4DE4" w:rsidRPr="003A4DE4" w14:paraId="193BEC54" w14:textId="77777777" w:rsidTr="003A4DE4">
        <w:trPr>
          <w:trHeight w:val="303"/>
        </w:trPr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622ED659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 xml:space="preserve">Код </w:t>
            </w:r>
            <w:proofErr w:type="gramStart"/>
            <w:r w:rsidRPr="003A4DE4">
              <w:rPr>
                <w:sz w:val="20"/>
                <w:szCs w:val="20"/>
              </w:rPr>
              <w:t>модуля  в</w:t>
            </w:r>
            <w:proofErr w:type="gramEnd"/>
            <w:r w:rsidRPr="003A4DE4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9E2106A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09C848E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F961173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Виды итоговой аттестации</w:t>
            </w:r>
          </w:p>
          <w:p w14:paraId="3B286F20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3A4DE4" w:rsidRPr="003A4DE4" w14:paraId="49485438" w14:textId="77777777" w:rsidTr="003A4DE4">
        <w:trPr>
          <w:trHeight w:val="303"/>
        </w:trPr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E613DB" w14:textId="77777777" w:rsidR="003A4DE4" w:rsidRPr="003A4DE4" w:rsidRDefault="003A4DE4" w:rsidP="004E0E0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7947B05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6404D13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BD9BF13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B840868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34342B7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6634484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Сроки</w:t>
            </w:r>
          </w:p>
        </w:tc>
      </w:tr>
      <w:tr w:rsidR="003A4DE4" w:rsidRPr="003A4DE4" w14:paraId="34A5188F" w14:textId="77777777" w:rsidTr="003A4DE4">
        <w:tc>
          <w:tcPr>
            <w:tcW w:w="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3C121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t>ОСНОВНАЯ ТРАЕКТОРИЯ</w:t>
            </w:r>
          </w:p>
        </w:tc>
      </w:tr>
      <w:tr w:rsidR="003A4DE4" w:rsidRPr="003A4DE4" w14:paraId="2A955BAE" w14:textId="77777777" w:rsidTr="003A4DE4">
        <w:tc>
          <w:tcPr>
            <w:tcW w:w="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BEC4F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t>Форма обучения: очная</w:t>
            </w:r>
          </w:p>
        </w:tc>
      </w:tr>
      <w:tr w:rsidR="003A4DE4" w:rsidRPr="003A4DE4" w14:paraId="46CB8926" w14:textId="77777777" w:rsidTr="003A4DE4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EAF8E7" w14:textId="77777777" w:rsidR="003A4DE4" w:rsidRPr="003A4DE4" w:rsidRDefault="003A4DE4" w:rsidP="004E0E04">
            <w:pPr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75B95D3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8FACAC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5E02756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351FAF7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  <w:r w:rsidRPr="003A4DE4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159EC9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7962AE" w14:textId="77777777" w:rsidR="003A4DE4" w:rsidRPr="003A4DE4" w:rsidRDefault="003A4DE4" w:rsidP="004E0E0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3A4DE4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57EEF6C1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Период обучения (модуль): семестр </w:t>
      </w:r>
      <w:r w:rsidR="00114C23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7D5ABBC7" w:rsidR="00136332" w:rsidRPr="005D65C7" w:rsidRDefault="00974C61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1129A8AC" w:rsidR="00136332" w:rsidRPr="002633BA" w:rsidRDefault="003F001E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40F2AB22" w:rsidR="00136332" w:rsidRPr="005D65C7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1F6E5AA1" w:rsidR="00136332" w:rsidRPr="00974C61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001E" w:rsidRPr="002633BA" w14:paraId="23A489C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1B4EDA5A" w14:textId="77777777" w:rsidR="003F001E" w:rsidRDefault="003F001E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B1B7B0C" w14:textId="77777777" w:rsidR="003F001E" w:rsidRPr="007624B6" w:rsidRDefault="003F001E" w:rsidP="00C00C3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284C58B9" w14:textId="610891F8" w:rsidR="003F001E" w:rsidRDefault="003F001E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3F47120" w14:textId="67979C4A" w:rsid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12362DDA" w:rsidR="00136332" w:rsidRPr="005D65C7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787C36B1" w:rsidR="00136332" w:rsidRP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F001E" w:rsidRPr="002633BA" w14:paraId="4CF3DF0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560EC84" w14:textId="77777777" w:rsidR="003F001E" w:rsidRDefault="003F001E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25E6BF4" w14:textId="77777777" w:rsidR="003F001E" w:rsidRPr="007624B6" w:rsidRDefault="003F001E" w:rsidP="00C00C3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6B604DF9" w14:textId="26A09EAB" w:rsidR="003F001E" w:rsidRDefault="003F001E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89C3D98" w14:textId="504B1F1C" w:rsidR="003F001E" w:rsidRP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183B8AE8" w:rsidR="00136332" w:rsidRPr="005D65C7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D65C7">
              <w:rPr>
                <w:rFonts w:ascii="Times New Roman" w:hAnsi="Times New Roman" w:cs="Times New Roman"/>
              </w:rPr>
              <w:t>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3DE10B0" w:rsidR="00136332" w:rsidRP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001E" w:rsidRPr="002633BA" w14:paraId="4C19FD0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CEA75C" w14:textId="77777777" w:rsidR="003F001E" w:rsidRDefault="003F001E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3F76C9C" w14:textId="77777777" w:rsidR="003F001E" w:rsidRPr="007624B6" w:rsidRDefault="003F001E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60E5DA3" w14:textId="53331B58" w:rsidR="003F001E" w:rsidRDefault="003F001E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02AFC33" w14:textId="7932CFEE" w:rsidR="003F001E" w:rsidRP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4F40D1AD" w:rsidR="00136332" w:rsidRPr="005D65C7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8407858" w:rsidR="00027BC4" w:rsidRPr="003952AE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952AE" w:rsidRPr="002633BA" w14:paraId="2AA15A93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15CE397E" w14:textId="77777777" w:rsidR="003952AE" w:rsidRDefault="003952AE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38042C2" w14:textId="77777777" w:rsidR="003952AE" w:rsidRPr="007624B6" w:rsidRDefault="003952AE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8DD7DC" w14:textId="61358F9C" w:rsidR="003952AE" w:rsidRDefault="003952AE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E9EBC0E" w14:textId="0C55B2E5" w:rsidR="003952AE" w:rsidRPr="003952AE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38ADBA79" w:rsidR="00027BC4" w:rsidRPr="005D65C7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6BA17E15" w:rsidR="00027BC4" w:rsidRDefault="003952AE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E0B78FF" w14:textId="13123F70" w:rsidR="00027BC4" w:rsidRPr="00027BC4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483E3D79" w:rsidR="00027BC4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A4DE4" w:rsidRPr="002633BA" w14:paraId="754AC9A6" w14:textId="77777777" w:rsidTr="003A4DE4">
        <w:trPr>
          <w:trHeight w:val="382"/>
        </w:trPr>
        <w:tc>
          <w:tcPr>
            <w:tcW w:w="690" w:type="dxa"/>
            <w:vMerge w:val="restart"/>
            <w:vAlign w:val="center"/>
          </w:tcPr>
          <w:p w14:paraId="57A7F17C" w14:textId="66BC3229" w:rsidR="003A4DE4" w:rsidRPr="002633BA" w:rsidRDefault="003A4DE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3A4DE4" w:rsidRPr="002633BA" w:rsidRDefault="003A4DE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C3A3E58" w:rsidR="003A4DE4" w:rsidRPr="00FD18B9" w:rsidRDefault="003A4DE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38520DF" w14:textId="5DF60257" w:rsidR="003A4DE4" w:rsidRPr="00DE4F76" w:rsidRDefault="003A4DE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A4DE4" w:rsidRPr="002633BA" w14:paraId="715D39A3" w14:textId="77777777" w:rsidTr="003A4DE4">
        <w:trPr>
          <w:trHeight w:val="407"/>
        </w:trPr>
        <w:tc>
          <w:tcPr>
            <w:tcW w:w="690" w:type="dxa"/>
            <w:vMerge/>
            <w:vAlign w:val="center"/>
          </w:tcPr>
          <w:p w14:paraId="66BDCEFA" w14:textId="77777777" w:rsidR="003A4DE4" w:rsidRDefault="003A4DE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ABA4010" w14:textId="77777777" w:rsidR="003A4DE4" w:rsidRDefault="003A4DE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6386739" w14:textId="459DE7D1" w:rsidR="003A4DE4" w:rsidRDefault="003A4DE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тельная работа</w:t>
            </w:r>
          </w:p>
        </w:tc>
        <w:tc>
          <w:tcPr>
            <w:tcW w:w="1417" w:type="dxa"/>
            <w:vAlign w:val="center"/>
          </w:tcPr>
          <w:p w14:paraId="6CDCE57F" w14:textId="0171B6CC" w:rsidR="003A4DE4" w:rsidRDefault="003A4DE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D94D726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lastRenderedPageBreak/>
        <w:t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Реализовать </w:t>
      </w:r>
      <w:proofErr w:type="spellStart"/>
      <w:r w:rsidRPr="00D915F4">
        <w:rPr>
          <w:rFonts w:ascii="Times New Roman" w:hAnsi="Times New Roman" w:cs="Times New Roman"/>
        </w:rPr>
        <w:t>Roguelike</w:t>
      </w:r>
      <w:proofErr w:type="spellEnd"/>
      <w:r w:rsidRPr="00D915F4">
        <w:rPr>
          <w:rFonts w:ascii="Times New Roman" w:hAnsi="Times New Roman" w:cs="Times New Roman"/>
        </w:rPr>
        <w:t xml:space="preserve">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lastRenderedPageBreak/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Консольная графика, с возможностью далее сделать графический </w:t>
      </w:r>
      <w:proofErr w:type="spellStart"/>
      <w:r w:rsidRPr="00D915F4">
        <w:rPr>
          <w:rFonts w:ascii="Times New Roman" w:hAnsi="Times New Roman" w:cs="Times New Roman"/>
        </w:rPr>
        <w:t>тайловый</w:t>
      </w:r>
      <w:proofErr w:type="spellEnd"/>
      <w:r w:rsidRPr="00D915F4">
        <w:rPr>
          <w:rFonts w:ascii="Times New Roman" w:hAnsi="Times New Roman" w:cs="Times New Roman"/>
        </w:rPr>
        <w:t xml:space="preserve">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proofErr w:type="spellStart"/>
      <w:r w:rsidRPr="00D915F4">
        <w:rPr>
          <w:rFonts w:ascii="Times New Roman" w:hAnsi="Times New Roman" w:cs="Times New Roman"/>
          <w:b/>
        </w:rPr>
        <w:t>Диздок</w:t>
      </w:r>
      <w:proofErr w:type="spellEnd"/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Написать архитектурное описание </w:t>
      </w:r>
      <w:proofErr w:type="spellStart"/>
      <w:r w:rsidRPr="002635AE">
        <w:rPr>
          <w:rFonts w:ascii="Times New Roman" w:hAnsi="Times New Roman" w:cs="Times New Roman"/>
        </w:rPr>
        <w:t>Roguelike</w:t>
      </w:r>
      <w:proofErr w:type="spellEnd"/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635AE">
        <w:rPr>
          <w:rFonts w:ascii="Times New Roman" w:hAnsi="Times New Roman" w:cs="Times New Roman"/>
        </w:rPr>
        <w:t>Architectural</w:t>
      </w:r>
      <w:proofErr w:type="spellEnd"/>
      <w:r w:rsidRPr="002635AE">
        <w:rPr>
          <w:rFonts w:ascii="Times New Roman" w:hAnsi="Times New Roman" w:cs="Times New Roman"/>
        </w:rPr>
        <w:t xml:space="preserve"> </w:t>
      </w:r>
      <w:proofErr w:type="spellStart"/>
      <w:r w:rsidRPr="002635AE">
        <w:rPr>
          <w:rFonts w:ascii="Times New Roman" w:hAnsi="Times New Roman" w:cs="Times New Roman"/>
        </w:rPr>
        <w:t>drivers</w:t>
      </w:r>
      <w:proofErr w:type="spellEnd"/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proofErr w:type="spellStart"/>
      <w:r w:rsidRPr="002635AE">
        <w:rPr>
          <w:rFonts w:ascii="Times New Roman" w:hAnsi="Times New Roman" w:cs="Times New Roman"/>
          <w:b/>
        </w:rPr>
        <w:t>Instant</w:t>
      </w:r>
      <w:proofErr w:type="spellEnd"/>
      <w:r w:rsidRPr="002635AE">
        <w:rPr>
          <w:rFonts w:ascii="Times New Roman" w:hAnsi="Times New Roman" w:cs="Times New Roman"/>
          <w:b/>
        </w:rPr>
        <w:t xml:space="preserve"> </w:t>
      </w:r>
      <w:proofErr w:type="spellStart"/>
      <w:r w:rsidRPr="002635AE">
        <w:rPr>
          <w:rFonts w:ascii="Times New Roman" w:hAnsi="Times New Roman" w:cs="Times New Roman"/>
          <w:b/>
        </w:rPr>
        <w:t>Messenger</w:t>
      </w:r>
      <w:proofErr w:type="spellEnd"/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Разработать сетевой чат с помощью </w:t>
      </w:r>
      <w:proofErr w:type="spellStart"/>
      <w:r w:rsidRPr="002635AE">
        <w:rPr>
          <w:rFonts w:ascii="Times New Roman" w:hAnsi="Times New Roman" w:cs="Times New Roman"/>
        </w:rPr>
        <w:t>gRPC</w:t>
      </w:r>
      <w:proofErr w:type="spellEnd"/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proofErr w:type="spellStart"/>
      <w:r w:rsidRPr="002635AE">
        <w:rPr>
          <w:rFonts w:ascii="Times New Roman" w:hAnsi="Times New Roman" w:cs="Times New Roman"/>
        </w:rPr>
        <w:t>eer-to-peer</w:t>
      </w:r>
      <w:proofErr w:type="spellEnd"/>
      <w:r w:rsidRPr="002635AE">
        <w:rPr>
          <w:rFonts w:ascii="Times New Roman" w:hAnsi="Times New Roman" w:cs="Times New Roman"/>
        </w:rPr>
        <w:t>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Адрес </w:t>
      </w:r>
      <w:proofErr w:type="spellStart"/>
      <w:r w:rsidRPr="002635AE">
        <w:rPr>
          <w:rFonts w:ascii="Times New Roman" w:hAnsi="Times New Roman" w:cs="Times New Roman"/>
        </w:rPr>
        <w:t>peer</w:t>
      </w:r>
      <w:proofErr w:type="spellEnd"/>
      <w:r w:rsidRPr="002635AE">
        <w:rPr>
          <w:rFonts w:ascii="Times New Roman" w:hAnsi="Times New Roman" w:cs="Times New Roman"/>
        </w:rPr>
        <w:t>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515E094" w14:textId="7644091D" w:rsidR="00FA3F93" w:rsidRPr="007624B6" w:rsidRDefault="004334D3" w:rsidP="004334D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Зачёт </w:t>
      </w:r>
      <w:r w:rsidR="009E1873">
        <w:rPr>
          <w:rFonts w:ascii="Times New Roman" w:hAnsi="Times New Roman" w:cs="Times New Roman"/>
          <w:bCs/>
        </w:rPr>
        <w:t>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 w:rsidR="009E1873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="009E1873"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 xml:space="preserve">После ответа на вопросы билета преподаватель вправе задать дополнительные вопросы по любой теме из списка вопросов, вынесенных на </w:t>
      </w:r>
      <w:r>
        <w:rPr>
          <w:rFonts w:ascii="Times New Roman" w:hAnsi="Times New Roman" w:cs="Times New Roman"/>
          <w:bCs/>
        </w:rPr>
        <w:t>зачёт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Если усреднённая оценка выше 3, ставится оценка «зачёт», в противном случае «незачёт».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24AEB910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 xml:space="preserve">Пример списка вопросов для устного </w:t>
      </w:r>
      <w:r w:rsidR="004334D3">
        <w:rPr>
          <w:rFonts w:ascii="Times New Roman" w:hAnsi="Times New Roman" w:cs="Times New Roman"/>
          <w:b/>
          <w:bCs/>
          <w:i/>
        </w:rPr>
        <w:t>зачёта</w:t>
      </w:r>
      <w:r w:rsidRPr="007624B6">
        <w:rPr>
          <w:rFonts w:ascii="Times New Roman" w:hAnsi="Times New Roman" w:cs="Times New Roman"/>
          <w:b/>
          <w:bCs/>
          <w:i/>
        </w:rPr>
        <w:t>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19CB254D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«Декоратор»,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lastRenderedPageBreak/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0FBBBA3B" w14:textId="77777777" w:rsidR="00E71930" w:rsidRPr="00D650CC" w:rsidRDefault="00DD3257" w:rsidP="00384317">
      <w:p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b/>
          <w:lang w:val="en-US"/>
        </w:rPr>
        <w:t>3.4.1</w:t>
      </w:r>
      <w:r w:rsidRPr="00D650CC">
        <w:rPr>
          <w:rFonts w:ascii="Times New Roman" w:hAnsi="Times New Roman" w:cs="Times New Roman"/>
          <w:b/>
          <w:lang w:val="en-US"/>
        </w:rPr>
        <w:tab/>
      </w:r>
      <w:r w:rsidRPr="007624B6">
        <w:rPr>
          <w:rFonts w:ascii="Times New Roman" w:hAnsi="Times New Roman" w:cs="Times New Roman"/>
          <w:b/>
        </w:rPr>
        <w:t>Список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обязательной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литературы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D89415C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7941C3D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03122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6FDC568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1C06E" w14:textId="77777777" w:rsidR="00E132F3" w:rsidRDefault="00E132F3">
      <w:r>
        <w:separator/>
      </w:r>
    </w:p>
    <w:p w14:paraId="4140192C" w14:textId="77777777" w:rsidR="00E132F3" w:rsidRDefault="00E132F3"/>
    <w:p w14:paraId="53128553" w14:textId="77777777" w:rsidR="00E132F3" w:rsidRDefault="00E132F3"/>
  </w:endnote>
  <w:endnote w:type="continuationSeparator" w:id="0">
    <w:p w14:paraId="55D6E9BA" w14:textId="77777777" w:rsidR="00E132F3" w:rsidRDefault="00E132F3">
      <w:r>
        <w:continuationSeparator/>
      </w:r>
    </w:p>
    <w:p w14:paraId="30D171AB" w14:textId="77777777" w:rsidR="00E132F3" w:rsidRDefault="00E132F3"/>
    <w:p w14:paraId="6E027294" w14:textId="77777777" w:rsidR="00E132F3" w:rsidRDefault="00E132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6CE55" w14:textId="77777777" w:rsidR="00E132F3" w:rsidRDefault="00E132F3">
      <w:r>
        <w:separator/>
      </w:r>
    </w:p>
    <w:p w14:paraId="7A466E10" w14:textId="77777777" w:rsidR="00E132F3" w:rsidRDefault="00E132F3"/>
    <w:p w14:paraId="7AF95E2F" w14:textId="77777777" w:rsidR="00E132F3" w:rsidRDefault="00E132F3"/>
  </w:footnote>
  <w:footnote w:type="continuationSeparator" w:id="0">
    <w:p w14:paraId="3582BEEB" w14:textId="77777777" w:rsidR="00E132F3" w:rsidRDefault="00E132F3">
      <w:r>
        <w:continuationSeparator/>
      </w:r>
    </w:p>
    <w:p w14:paraId="73E31D6D" w14:textId="77777777" w:rsidR="00E132F3" w:rsidRDefault="00E132F3"/>
    <w:p w14:paraId="6AECD98D" w14:textId="77777777" w:rsidR="00E132F3" w:rsidRDefault="00E132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14"/>
  </w:num>
  <w:num w:numId="7">
    <w:abstractNumId w:val="15"/>
  </w:num>
  <w:num w:numId="8">
    <w:abstractNumId w:val="23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3"/>
  </w:num>
  <w:num w:numId="16">
    <w:abstractNumId w:val="22"/>
  </w:num>
  <w:num w:numId="17">
    <w:abstractNumId w:val="25"/>
  </w:num>
  <w:num w:numId="18">
    <w:abstractNumId w:val="9"/>
  </w:num>
  <w:num w:numId="19">
    <w:abstractNumId w:val="20"/>
  </w:num>
  <w:num w:numId="20">
    <w:abstractNumId w:val="11"/>
  </w:num>
  <w:num w:numId="21">
    <w:abstractNumId w:val="0"/>
  </w:num>
  <w:num w:numId="22">
    <w:abstractNumId w:val="5"/>
  </w:num>
  <w:num w:numId="23">
    <w:abstractNumId w:val="17"/>
  </w:num>
  <w:num w:numId="24">
    <w:abstractNumId w:val="21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A215D"/>
    <w:rsid w:val="00114C23"/>
    <w:rsid w:val="00116FC7"/>
    <w:rsid w:val="00136332"/>
    <w:rsid w:val="00140F2C"/>
    <w:rsid w:val="00166740"/>
    <w:rsid w:val="00166803"/>
    <w:rsid w:val="00173991"/>
    <w:rsid w:val="001915A3"/>
    <w:rsid w:val="00217F62"/>
    <w:rsid w:val="00246970"/>
    <w:rsid w:val="00247F2B"/>
    <w:rsid w:val="002635AE"/>
    <w:rsid w:val="00275830"/>
    <w:rsid w:val="00277CD5"/>
    <w:rsid w:val="002B37A1"/>
    <w:rsid w:val="002C6978"/>
    <w:rsid w:val="00302EB9"/>
    <w:rsid w:val="00377EA6"/>
    <w:rsid w:val="00384317"/>
    <w:rsid w:val="003952AE"/>
    <w:rsid w:val="003A4DE4"/>
    <w:rsid w:val="003F001E"/>
    <w:rsid w:val="00401B2F"/>
    <w:rsid w:val="004334D3"/>
    <w:rsid w:val="004B0165"/>
    <w:rsid w:val="004B2D1E"/>
    <w:rsid w:val="00535CAB"/>
    <w:rsid w:val="0054196E"/>
    <w:rsid w:val="0056662B"/>
    <w:rsid w:val="00567C32"/>
    <w:rsid w:val="0059229D"/>
    <w:rsid w:val="005D65C7"/>
    <w:rsid w:val="006E1C9F"/>
    <w:rsid w:val="006F5241"/>
    <w:rsid w:val="006F5ED9"/>
    <w:rsid w:val="00710829"/>
    <w:rsid w:val="007624B6"/>
    <w:rsid w:val="007731A6"/>
    <w:rsid w:val="007B2EA0"/>
    <w:rsid w:val="007B3B02"/>
    <w:rsid w:val="008144E4"/>
    <w:rsid w:val="00971208"/>
    <w:rsid w:val="00974C61"/>
    <w:rsid w:val="009E1873"/>
    <w:rsid w:val="00A22FC2"/>
    <w:rsid w:val="00A368B1"/>
    <w:rsid w:val="00A906D8"/>
    <w:rsid w:val="00A95BE9"/>
    <w:rsid w:val="00AA0B11"/>
    <w:rsid w:val="00AB5A74"/>
    <w:rsid w:val="00B0714C"/>
    <w:rsid w:val="00B075C0"/>
    <w:rsid w:val="00B6607C"/>
    <w:rsid w:val="00C20524"/>
    <w:rsid w:val="00C4598C"/>
    <w:rsid w:val="00CA4C4B"/>
    <w:rsid w:val="00D03C84"/>
    <w:rsid w:val="00D452E3"/>
    <w:rsid w:val="00D46197"/>
    <w:rsid w:val="00D650CC"/>
    <w:rsid w:val="00D915F4"/>
    <w:rsid w:val="00DD3257"/>
    <w:rsid w:val="00DE4F76"/>
    <w:rsid w:val="00E0491C"/>
    <w:rsid w:val="00E132F3"/>
    <w:rsid w:val="00E1617A"/>
    <w:rsid w:val="00E24E9A"/>
    <w:rsid w:val="00E71930"/>
    <w:rsid w:val="00EB38D2"/>
    <w:rsid w:val="00ED23A2"/>
    <w:rsid w:val="00EE1FC2"/>
    <w:rsid w:val="00F01B51"/>
    <w:rsid w:val="00F07015"/>
    <w:rsid w:val="00F071AE"/>
    <w:rsid w:val="00F46B9F"/>
    <w:rsid w:val="00FA00E1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11</Pages>
  <Words>3130</Words>
  <Characters>17846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41</cp:revision>
  <dcterms:created xsi:type="dcterms:W3CDTF">2017-02-03T14:43:00Z</dcterms:created>
  <dcterms:modified xsi:type="dcterms:W3CDTF">2019-06-28T17:35:00Z</dcterms:modified>
</cp:coreProperties>
</file>