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77777777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4F218DA9" w14:textId="687909DB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ПКА-1</w:t>
      </w:r>
      <w:r w:rsidRPr="0037572A">
        <w:rPr>
          <w:rFonts w:ascii="Times New Roman" w:hAnsi="Times New Roman" w:cs="Times New Roman"/>
        </w:rPr>
        <w:t xml:space="preserve"> – с</w:t>
      </w:r>
      <w:r w:rsidRPr="0037572A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0DD7F83E" w14:textId="3B2BDAE4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ПКА-3 –</w:t>
      </w:r>
      <w:r w:rsidRPr="0037572A">
        <w:rPr>
          <w:rFonts w:ascii="Times New Roman" w:hAnsi="Times New Roman" w:cs="Times New Roman"/>
        </w:rPr>
        <w:t xml:space="preserve"> с</w:t>
      </w:r>
      <w:r w:rsidRPr="0037572A">
        <w:rPr>
          <w:rFonts w:ascii="Times New Roman" w:hAnsi="Times New Roman" w:cs="Times New Roman"/>
        </w:rPr>
        <w:t>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>
        <w:rPr>
          <w:rFonts w:ascii="Times New Roman" w:hAnsi="Times New Roman" w:cs="Times New Roman"/>
        </w:rPr>
        <w:t>;</w:t>
      </w:r>
    </w:p>
    <w:p w14:paraId="2E6F6A73" w14:textId="5FA77E97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ПКА-4 –</w:t>
      </w:r>
      <w:r w:rsidRPr="00375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</w:t>
      </w:r>
      <w:r w:rsidRPr="0037572A"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комплексов с использованием стандартов, норм и правил</w:t>
      </w:r>
      <w:r>
        <w:rPr>
          <w:rFonts w:ascii="Times New Roman" w:hAnsi="Times New Roman" w:cs="Times New Roman"/>
        </w:rPr>
        <w:t>;</w:t>
      </w:r>
    </w:p>
    <w:p w14:paraId="63CA260C" w14:textId="75365DEB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lastRenderedPageBreak/>
        <w:t>ПКА-5 –</w:t>
      </w:r>
      <w:r w:rsidRPr="00375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</w:t>
      </w:r>
      <w:r w:rsidRPr="0037572A"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том числе и отечественного происхождения</w:t>
      </w:r>
      <w:r>
        <w:rPr>
          <w:rFonts w:ascii="Times New Roman" w:hAnsi="Times New Roman" w:cs="Times New Roman"/>
        </w:rPr>
        <w:t>;</w:t>
      </w:r>
    </w:p>
    <w:p w14:paraId="5B999A3C" w14:textId="5A2D52C4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ПКП-1 –</w:t>
      </w:r>
      <w:r w:rsidRPr="00375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</w:t>
      </w:r>
      <w:r w:rsidRPr="0037572A"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</w:t>
      </w:r>
      <w:r>
        <w:rPr>
          <w:rFonts w:ascii="Times New Roman" w:hAnsi="Times New Roman" w:cs="Times New Roman"/>
        </w:rPr>
        <w:t>;</w:t>
      </w:r>
    </w:p>
    <w:p w14:paraId="1616A419" w14:textId="16341CDD" w:rsidR="0037572A" w:rsidRPr="0037572A" w:rsidRDefault="0037572A" w:rsidP="00BA4055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ПКП-2 –</w:t>
      </w:r>
      <w:r w:rsidRPr="00375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</w:t>
      </w:r>
      <w:r w:rsidRPr="0037572A"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конкретной области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336847B6" w14:textId="064DE99F" w:rsidR="0037572A" w:rsidRPr="0037572A" w:rsidRDefault="0037572A" w:rsidP="00B817E6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ПКП-3 –</w:t>
      </w:r>
      <w:r w:rsidRPr="0037572A">
        <w:rPr>
          <w:rFonts w:ascii="Times New Roman" w:hAnsi="Times New Roman" w:cs="Times New Roman"/>
        </w:rPr>
        <w:t xml:space="preserve"> с</w:t>
      </w:r>
      <w:r w:rsidRPr="0037572A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>
        <w:rPr>
          <w:rFonts w:ascii="Times New Roman" w:hAnsi="Times New Roman" w:cs="Times New Roman"/>
        </w:rPr>
        <w:t>;</w:t>
      </w:r>
    </w:p>
    <w:p w14:paraId="7B3512A0" w14:textId="48483004" w:rsidR="0037572A" w:rsidRPr="0037572A" w:rsidRDefault="0037572A" w:rsidP="002A4B5C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ПКП-5 –</w:t>
      </w:r>
      <w:r w:rsidRPr="0037572A">
        <w:rPr>
          <w:rFonts w:ascii="Times New Roman" w:hAnsi="Times New Roman" w:cs="Times New Roman"/>
        </w:rPr>
        <w:t xml:space="preserve"> с</w:t>
      </w:r>
      <w:r w:rsidRPr="0037572A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</w:t>
      </w:r>
      <w:r w:rsidRPr="0037572A"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>
        <w:rPr>
          <w:rFonts w:ascii="Times New Roman" w:hAnsi="Times New Roman" w:cs="Times New Roman"/>
        </w:rPr>
        <w:t>;</w:t>
      </w:r>
    </w:p>
    <w:p w14:paraId="557522B2" w14:textId="0F4A172D" w:rsidR="0037572A" w:rsidRPr="00660666" w:rsidRDefault="0037572A" w:rsidP="00447EB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ПКП-6 –</w:t>
      </w:r>
      <w:r w:rsidRP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с</w:t>
      </w:r>
      <w:r w:rsidRPr="00660666">
        <w:rPr>
          <w:rFonts w:ascii="Times New Roman" w:hAnsi="Times New Roman" w:cs="Times New Roman"/>
        </w:rPr>
        <w:t>пособен использовать основные методы и средства автоматизации проектирования, реализации, испытаний и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оценки качества при создании конкурентоспособного программного продукта и программных комплексов, а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также способен использовать методы и средства автоматизации, связанные с сопровождением,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администрированием и модернизацией программных продуктов и программных комплексов</w:t>
      </w:r>
      <w:r w:rsidR="00660666">
        <w:rPr>
          <w:rFonts w:ascii="Times New Roman" w:hAnsi="Times New Roman" w:cs="Times New Roman"/>
        </w:rPr>
        <w:t>;</w:t>
      </w:r>
    </w:p>
    <w:p w14:paraId="3734F290" w14:textId="47607D25" w:rsidR="0037572A" w:rsidRPr="00660666" w:rsidRDefault="0037572A" w:rsidP="00BA5335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ПКП-7 –</w:t>
      </w:r>
      <w:r w:rsidR="00660666" w:rsidRPr="00660666">
        <w:rPr>
          <w:rFonts w:ascii="Times New Roman" w:hAnsi="Times New Roman" w:cs="Times New Roman"/>
        </w:rPr>
        <w:t xml:space="preserve"> с</w:t>
      </w:r>
      <w:r w:rsidR="00660666" w:rsidRPr="00660666">
        <w:rPr>
          <w:rFonts w:ascii="Times New Roman" w:hAnsi="Times New Roman" w:cs="Times New Roman"/>
        </w:rPr>
        <w:t>пособен использовать знания направлений развития компьютеров с традиционной (нетрадиционной)</w:t>
      </w:r>
      <w:r w:rsidR="00660666" w:rsidRP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архитектурой; современных системных программных средств: операционных систем, операционных и сетевых</w:t>
      </w:r>
      <w:r w:rsidR="00660666" w:rsidRP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оболочек, сервисных программ; тенденции развития функций и архитектур проблемно-ориентированных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 w:rsidR="00660666">
        <w:rPr>
          <w:rFonts w:ascii="Times New Roman" w:hAnsi="Times New Roman" w:cs="Times New Roman"/>
        </w:rPr>
        <w:t>;</w:t>
      </w:r>
    </w:p>
    <w:p w14:paraId="110CC63A" w14:textId="0982CD64" w:rsidR="0037572A" w:rsidRPr="00660666" w:rsidRDefault="0037572A" w:rsidP="009F7D64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ПКП-9 –</w:t>
      </w:r>
      <w:r w:rsidR="00660666" w:rsidRPr="00660666">
        <w:rPr>
          <w:rFonts w:ascii="Times New Roman" w:hAnsi="Times New Roman" w:cs="Times New Roman"/>
        </w:rPr>
        <w:t xml:space="preserve"> с</w:t>
      </w:r>
      <w:r w:rsidR="00660666" w:rsidRPr="00660666">
        <w:rPr>
          <w:rFonts w:ascii="Times New Roman" w:hAnsi="Times New Roman" w:cs="Times New Roman"/>
        </w:rPr>
        <w:t>пособен использовать современные методы разработки и реализации конкретных алгоритмов математических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 w:rsidR="00660666">
        <w:rPr>
          <w:rFonts w:ascii="Times New Roman" w:hAnsi="Times New Roman" w:cs="Times New Roman"/>
        </w:rPr>
        <w:t>;</w:t>
      </w:r>
    </w:p>
    <w:p w14:paraId="5DABF09B" w14:textId="04BA7503" w:rsidR="00116FC7" w:rsidRPr="00660666" w:rsidRDefault="0037572A" w:rsidP="008D4FB7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УКБ-10 –</w:t>
      </w:r>
      <w:r w:rsidR="00660666" w:rsidRPr="00660666">
        <w:rPr>
          <w:rFonts w:ascii="Times New Roman" w:hAnsi="Times New Roman" w:cs="Times New Roman"/>
        </w:rPr>
        <w:t xml:space="preserve"> с</w:t>
      </w:r>
      <w:r w:rsidR="00660666" w:rsidRPr="00660666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</w:t>
      </w:r>
      <w:r w:rsidR="00660666" w:rsidRP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получения и работы с информацией с учетом современных технологий цифровой экономики и информационной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безопасности.</w:t>
      </w:r>
    </w:p>
    <w:p w14:paraId="53A37D6C" w14:textId="77777777" w:rsidR="0037572A" w:rsidRPr="00116FC7" w:rsidRDefault="0037572A" w:rsidP="0037572A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bookmarkStart w:id="0" w:name="_GoBack"/>
      <w:bookmarkEnd w:id="0"/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BCAF91B" w14:textId="77777777" w:rsidR="00887F35" w:rsidRDefault="00887F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095EF" w14:textId="77777777" w:rsidR="00ED47FA" w:rsidRDefault="00ED47FA">
      <w:r>
        <w:separator/>
      </w:r>
    </w:p>
    <w:p w14:paraId="0E44A754" w14:textId="77777777" w:rsidR="00ED47FA" w:rsidRDefault="00ED47FA"/>
    <w:p w14:paraId="7AD3E926" w14:textId="77777777" w:rsidR="00ED47FA" w:rsidRDefault="00ED47FA"/>
  </w:endnote>
  <w:endnote w:type="continuationSeparator" w:id="0">
    <w:p w14:paraId="722C1393" w14:textId="77777777" w:rsidR="00ED47FA" w:rsidRDefault="00ED47FA">
      <w:r>
        <w:continuationSeparator/>
      </w:r>
    </w:p>
    <w:p w14:paraId="1FF7F487" w14:textId="77777777" w:rsidR="00ED47FA" w:rsidRDefault="00ED47FA"/>
    <w:p w14:paraId="066C97EB" w14:textId="77777777" w:rsidR="00ED47FA" w:rsidRDefault="00ED4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D8BA" w14:textId="77777777" w:rsidR="00ED47FA" w:rsidRDefault="00ED47FA">
      <w:r>
        <w:separator/>
      </w:r>
    </w:p>
    <w:p w14:paraId="017847E4" w14:textId="77777777" w:rsidR="00ED47FA" w:rsidRDefault="00ED47FA"/>
    <w:p w14:paraId="7E6AB417" w14:textId="77777777" w:rsidR="00ED47FA" w:rsidRDefault="00ED47FA"/>
  </w:footnote>
  <w:footnote w:type="continuationSeparator" w:id="0">
    <w:p w14:paraId="355FACE9" w14:textId="77777777" w:rsidR="00ED47FA" w:rsidRDefault="00ED47FA">
      <w:r>
        <w:continuationSeparator/>
      </w:r>
    </w:p>
    <w:p w14:paraId="32794368" w14:textId="77777777" w:rsidR="00ED47FA" w:rsidRDefault="00ED47FA"/>
    <w:p w14:paraId="711BC1AC" w14:textId="77777777" w:rsidR="00ED47FA" w:rsidRDefault="00ED4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5"/>
  </w:num>
  <w:num w:numId="7">
    <w:abstractNumId w:val="16"/>
  </w:num>
  <w:num w:numId="8">
    <w:abstractNumId w:val="24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19"/>
  </w:num>
  <w:num w:numId="14">
    <w:abstractNumId w:val="10"/>
  </w:num>
  <w:num w:numId="15">
    <w:abstractNumId w:val="3"/>
  </w:num>
  <w:num w:numId="16">
    <w:abstractNumId w:val="23"/>
  </w:num>
  <w:num w:numId="17">
    <w:abstractNumId w:val="26"/>
  </w:num>
  <w:num w:numId="18">
    <w:abstractNumId w:val="9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18"/>
  </w:num>
  <w:num w:numId="24">
    <w:abstractNumId w:val="22"/>
  </w:num>
  <w:num w:numId="25">
    <w:abstractNumId w:val="7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572A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60666"/>
    <w:rsid w:val="006F5ED9"/>
    <w:rsid w:val="00710829"/>
    <w:rsid w:val="007624B6"/>
    <w:rsid w:val="007731A6"/>
    <w:rsid w:val="007B2EA0"/>
    <w:rsid w:val="007B3B02"/>
    <w:rsid w:val="00887F35"/>
    <w:rsid w:val="00910C92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ED47FA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34</cp:revision>
  <dcterms:created xsi:type="dcterms:W3CDTF">2017-02-03T14:43:00Z</dcterms:created>
  <dcterms:modified xsi:type="dcterms:W3CDTF">2019-06-26T10:49:00Z</dcterms:modified>
</cp:coreProperties>
</file>