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С В Е Д Е Н И Е</w:t>
      </w:r>
    </w:p>
    <w:p>
      <w:pPr>
        <w:pStyle w:val="Normal"/>
        <w:jc w:val="center"/>
        <w:rPr/>
      </w:pPr>
      <w:r>
        <w:rPr>
          <w:b/>
          <w:sz w:val="28"/>
        </w:rPr>
        <w:t>о системе «Datavue» — платформе автоматической генерации BI-дашбордов на основе искусственного интеллекта</w:t>
      </w:r>
    </w:p>
    <w:p>
      <w:pPr>
        <w:pStyle w:val="Normal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>
          <w:b/>
          <w:sz w:val="28"/>
        </w:rPr>
        <w:t>Цель проекта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/>
        <w:t>Принятие управленческих решений на основе данных требует построения аналитических дашбордов: сводных графиков, счётчиков и таблиц, отражающих состояние продаж, склада, клиентов и других процессов компании. Обычно этим занимается отдельный специалист — аналитик или разработчик, который вручную пишет запросы к базе данных, подбирает визуализацию и обновляет отчёты по мере изменения задачи. Для небольших и средних компаний содержать такого специалиста или ждать очереди у ИТ-отдела зачастую не оправдано.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/>
        <w:t>Система «Datavue» решает эту задачу, убирая посредника между вопросом и ответом: пользователь подключает источник данных (базу данных или файл) и описывает в чате на обычном языке, какой дашборд ему нужен — «покажи выручку по месяцам и топ-10 клиентов». Система сама разбирается в структуре источника, проектирует набор виджетов и генерирует код, который считает нужные показатели, — результат готов за минуты, без участия разработчика.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/>
        <w:t>Искусственный интеллект в «Datavue» отвечает не за один шаг, а за весь путь построения дашборда: группирует таблицы источника по смыслу, определяет, какие из них нужны под конкретный запрос, проектирует состав и тип виджетов, пишет Python-код для расчёта метрик и запускает его. Если сгенерированный код падает или считает не то, система обнаруживает это сама и переписывает его — без обращения к пользователю.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/>
        <w:t>Дальнейшие правки — «добавь график по странам», «переведи подписи на английский», «удали второй виджет» — обрабатываются тем же ИИ-агентом в режиме диалога: пользователю не нужно пересоздавать дашборд заново, достаточно продолжить разговор.</w:t>
      </w:r>
    </w:p>
    <w:p>
      <w:pPr>
        <w:pStyle w:val="Normal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>
          <w:b/>
          <w:sz w:val="28"/>
        </w:rPr>
        <w:t>Функционал системы «Datavue»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/>
        <w:t>Система состоит из публичной части (лендинг, регистрация и вход) и рабочего кабинета компании, где происходит подключение источников данных, работа с ИИ-агентом и построение дашбордов. Ниже функционал описан в том порядке, в котором с ним сталкивается пользователь.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>
          <w:b/>
        </w:rPr>
        <w:t xml:space="preserve">Лендинг и вход в систему. </w:t>
      </w:r>
      <w:r>
        <w:rPr/>
        <w:t>Первое, что видит новый пользователь, — публичная главная страница платформы с описанием возможностей и предложением попробовать сервис бесплатно. Здесь же находятся формы регистрации компании и входа в систему.</w:t>
      </w:r>
    </w:p>
    <w:tbl>
      <w:tblPr>
        <w:tblW w:w="96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689"/>
      </w:tblGrid>
      <w:tr>
        <w:trPr/>
        <w:tc>
          <w:tcPr>
            <w:tcW w:w="9689" w:type="dxa"/>
            <w:tcBorders>
              <w:top w:val="dashed" w:sz="8" w:space="0" w:color="9AA5B1"/>
              <w:start w:val="dashed" w:sz="8" w:space="0" w:color="9AA5B1"/>
              <w:bottom w:val="dashed" w:sz="8" w:space="0" w:color="9AA5B1"/>
              <w:end w:val="dashed" w:sz="8" w:space="0" w:color="9AA5B1"/>
            </w:tcBorders>
            <w:shd w:color="auto" w:fill="F4F6F8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b/>
                <w:i/>
                <w:color w:val="9AA5B1"/>
                <w:sz w:val="22"/>
              </w:rPr>
            </w:pPr>
            <w:r>
              <w:rPr/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15355" cy="3413125"/>
                  <wp:effectExtent l="0" t="0" r="0" b="0"/>
                  <wp:wrapSquare wrapText="largest"/>
                  <wp:docPr id="1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5355" cy="341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40"/>
        <w:jc w:val="center"/>
        <w:rPr/>
      </w:pPr>
      <w:r>
        <w:rPr>
          <w:sz w:val="26"/>
        </w:rPr>
        <w:t>Рисунок 1. Главная страница платформы Datavue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>
          <w:b/>
        </w:rPr>
        <w:t xml:space="preserve">Подключение источника данных. </w:t>
      </w:r>
      <w:r>
        <w:rPr/>
        <w:t>Работа начинается с подключения источника данных — мастер из трёх шагов доступен по кнопке «Подключить источник». На первом шаге пользователь выбирает тип источника: MySQL, PostgreSQL, SQLite, DuckDB, файл CSV/Excel или Google Таблица; список провайдеров приходит с сервера, поэтому новый тип источника появляется в мастере без изменений на фронтенде.</w:t>
      </w:r>
    </w:p>
    <w:tbl>
      <w:tblPr>
        <w:tblW w:w="96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689"/>
      </w:tblGrid>
      <w:tr>
        <w:trPr/>
        <w:tc>
          <w:tcPr>
            <w:tcW w:w="9689" w:type="dxa"/>
            <w:tcBorders>
              <w:top w:val="dashed" w:sz="8" w:space="0" w:color="9AA5B1"/>
              <w:start w:val="dashed" w:sz="8" w:space="0" w:color="9AA5B1"/>
              <w:bottom w:val="dashed" w:sz="8" w:space="0" w:color="9AA5B1"/>
              <w:end w:val="dashed" w:sz="8" w:space="0" w:color="9AA5B1"/>
            </w:tcBorders>
            <w:shd w:color="auto" w:fill="F4F6F8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b/>
                <w:i/>
                <w:color w:val="9AA5B1"/>
                <w:sz w:val="22"/>
              </w:rPr>
            </w:pPr>
            <w:r>
              <w:rPr/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15355" cy="3413125"/>
                  <wp:effectExtent l="0" t="0" r="0" b="0"/>
                  <wp:wrapSquare wrapText="largest"/>
                  <wp:docPr id="2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5355" cy="341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40"/>
        <w:jc w:val="center"/>
        <w:rPr/>
      </w:pPr>
      <w:r>
        <w:rPr>
          <w:sz w:val="26"/>
        </w:rPr>
        <w:t>Рисунок 2. Мастер подключения источника данных — выбор провайдера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/>
        <w:t>На втором шаге, в зависимости от типа источника, пользователь либо вводит параметры подключения к базе (хост, порт, имя базы, логин, пароль), либо загружает файл. Система сразу проверяет подключение и не даёт перейти дальше, если данные недоступны.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/>
        <w:t>После успешного подключения запускается фоновая задача группировки: система анализирует все таблицы источника и объединяет их в смысловые группы (например, «Продажи», «Клиенты», «Склад»), чтобы в дальнейшем ИИ-агент опирался не на разрозненный список таблиц, а на понятную структуру данных. Ход группировки виден пользователю в реальном времени через веб-сокеты.</w:t>
      </w:r>
    </w:p>
    <w:tbl>
      <w:tblPr>
        <w:tblW w:w="96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689"/>
      </w:tblGrid>
      <w:tr>
        <w:trPr/>
        <w:tc>
          <w:tcPr>
            <w:tcW w:w="9689" w:type="dxa"/>
            <w:tcBorders>
              <w:top w:val="dashed" w:sz="8" w:space="0" w:color="9AA5B1"/>
              <w:start w:val="dashed" w:sz="8" w:space="0" w:color="9AA5B1"/>
              <w:bottom w:val="dashed" w:sz="8" w:space="0" w:color="9AA5B1"/>
              <w:end w:val="dashed" w:sz="8" w:space="0" w:color="9AA5B1"/>
            </w:tcBorders>
            <w:shd w:color="auto" w:fill="F4F6F8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b/>
                <w:i/>
                <w:color w:val="9AA5B1"/>
                <w:sz w:val="22"/>
              </w:rPr>
            </w:pPr>
            <w:r>
              <w:rPr/>
              <w:drawing>
                <wp:anchor distT="0" distB="0" distL="0" distR="0" simplePos="0" relativeHeight="7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15355" cy="3413125"/>
                  <wp:effectExtent l="0" t="0" r="0" b="0"/>
                  <wp:wrapSquare wrapText="largest"/>
                  <wp:docPr id="3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5355" cy="341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40"/>
        <w:jc w:val="center"/>
        <w:rPr/>
      </w:pPr>
      <w:r>
        <w:rPr>
          <w:sz w:val="26"/>
        </w:rPr>
        <w:t>Рисунок 3. Ход автоматической группировки таблиц источника данных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>
          <w:b/>
        </w:rPr>
        <w:t xml:space="preserve">Рабочие пространства. </w:t>
      </w:r>
      <w:r>
        <w:rPr/>
        <w:t>Источник данных сам по себе не место для работы: конкретную задачу — «Продажи», «Склад» — пользователь оформляет как рабочее пространство. У пространства есть название, один источник данных, сколько угодно дашбордов и один разговор с ИИ-агентом. Несколько пространств могут ссылаться на один и тот же источник, если на его данных решаются разные задачи.</w:t>
      </w:r>
    </w:p>
    <w:tbl>
      <w:tblPr>
        <w:tblW w:w="96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689"/>
      </w:tblGrid>
      <w:tr>
        <w:trPr/>
        <w:tc>
          <w:tcPr>
            <w:tcW w:w="9689" w:type="dxa"/>
            <w:tcBorders>
              <w:top w:val="dashed" w:sz="8" w:space="0" w:color="9AA5B1"/>
              <w:start w:val="dashed" w:sz="8" w:space="0" w:color="9AA5B1"/>
              <w:bottom w:val="dashed" w:sz="8" w:space="0" w:color="9AA5B1"/>
              <w:end w:val="dashed" w:sz="8" w:space="0" w:color="9AA5B1"/>
            </w:tcBorders>
            <w:shd w:color="auto" w:fill="F4F6F8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b/>
                <w:i/>
                <w:color w:val="9AA5B1"/>
                <w:sz w:val="22"/>
              </w:rPr>
            </w:pPr>
            <w:r>
              <w:rPr/>
              <w:drawing>
                <wp:anchor distT="0" distB="0" distL="0" distR="0" simplePos="0" relativeHeight="8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15355" cy="3413125"/>
                  <wp:effectExtent l="0" t="0" r="0" b="0"/>
                  <wp:wrapSquare wrapText="largest"/>
                  <wp:docPr id="4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5355" cy="341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40"/>
        <w:jc w:val="center"/>
        <w:rPr/>
      </w:pPr>
      <w:r>
        <w:rPr>
          <w:sz w:val="26"/>
        </w:rPr>
        <w:t>Рисунок 4. Список рабочих пространств компании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>
          <w:b/>
        </w:rPr>
        <w:t xml:space="preserve">Чат с ИИ-агентом. </w:t>
      </w:r>
      <w:r>
        <w:rPr/>
        <w:t>Внутри рабочего пространства пользователь видит переключатель дашбордов, кнопку смены режима «Просмотр ↔ Конструктор» и боковую панель чата с ИИ-агентом — всё на одной странице, без переходов между разделами.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/>
        <w:t>В чате пользователь описывает на естественном языке, какой дашборд ему нужен, или что поправить в уже существующем: «покажи выручку по месяцам и топ-10 клиентов», «добавь график по странам», «переведи подписи на английский». Агент сам определяет тип задачи — построить дашборд с нуля или доработать существующий — и в процессе показывает статус: постановка задачи, генерация схемы, расчёт виджетов, проверка результата, готово.</w:t>
      </w:r>
    </w:p>
    <w:tbl>
      <w:tblPr>
        <w:tblW w:w="96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689"/>
      </w:tblGrid>
      <w:tr>
        <w:trPr/>
        <w:tc>
          <w:tcPr>
            <w:tcW w:w="9689" w:type="dxa"/>
            <w:tcBorders>
              <w:top w:val="dashed" w:sz="8" w:space="0" w:color="9AA5B1"/>
              <w:start w:val="dashed" w:sz="8" w:space="0" w:color="9AA5B1"/>
              <w:bottom w:val="dashed" w:sz="8" w:space="0" w:color="9AA5B1"/>
              <w:end w:val="dashed" w:sz="8" w:space="0" w:color="9AA5B1"/>
            </w:tcBorders>
            <w:shd w:color="auto" w:fill="F4F6F8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b/>
                <w:i/>
                <w:color w:val="9AA5B1"/>
                <w:sz w:val="22"/>
              </w:rPr>
            </w:pPr>
            <w:r>
              <w:rPr/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15355" cy="3413125"/>
                  <wp:effectExtent l="0" t="0" r="0" b="0"/>
                  <wp:wrapSquare wrapText="largest"/>
                  <wp:docPr id="5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5355" cy="341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40"/>
        <w:jc w:val="center"/>
        <w:rPr/>
      </w:pPr>
      <w:r>
        <w:rPr>
          <w:sz w:val="26"/>
        </w:rPr>
        <w:t>Рисунок 5. Диалог с ИИ-агентом и статус генерации дашборда в боковой панели чата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>
          <w:b/>
        </w:rPr>
        <w:t xml:space="preserve">Просмотр дашборда. </w:t>
      </w:r>
      <w:r>
        <w:rPr/>
        <w:t>Результат работы агента — дашборд из виджетов: счётчиков, линейных и столбчатых графиков, круговых и радиальных диаграмм, тепловых карт, воронок, географических карт и таблиц. Каждый виджет считает показатель по коду, который сгенерировал и проверил ИИ-агент, — если расчёт дал сбой, система переписывает код сама, не дожидаясь жалобы пользователя.</w:t>
      </w:r>
    </w:p>
    <w:tbl>
      <w:tblPr>
        <w:tblW w:w="96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689"/>
      </w:tblGrid>
      <w:tr>
        <w:trPr/>
        <w:tc>
          <w:tcPr>
            <w:tcW w:w="9689" w:type="dxa"/>
            <w:tcBorders>
              <w:top w:val="dashed" w:sz="8" w:space="0" w:color="9AA5B1"/>
              <w:start w:val="dashed" w:sz="8" w:space="0" w:color="9AA5B1"/>
              <w:bottom w:val="dashed" w:sz="8" w:space="0" w:color="9AA5B1"/>
              <w:end w:val="dashed" w:sz="8" w:space="0" w:color="9AA5B1"/>
            </w:tcBorders>
            <w:shd w:color="auto" w:fill="F4F6F8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b/>
                <w:i/>
                <w:color w:val="9AA5B1"/>
                <w:sz w:val="22"/>
              </w:rPr>
            </w:pPr>
            <w:r>
              <w:rPr/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15355" cy="3413125"/>
                  <wp:effectExtent l="0" t="0" r="0" b="0"/>
                  <wp:wrapSquare wrapText="largest"/>
                  <wp:docPr id="6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5355" cy="341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40"/>
        <w:jc w:val="center"/>
        <w:rPr/>
      </w:pPr>
      <w:r>
        <w:rPr>
          <w:sz w:val="26"/>
        </w:rPr>
        <w:t>Рисунок 6. Готовый дашборд с набором виджетов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>
          <w:b/>
        </w:rPr>
        <w:t xml:space="preserve">Конструктор дашборда. </w:t>
      </w:r>
      <w:r>
        <w:rPr/>
        <w:t>Дашборд необязательно собирать только через чат — режим конструктора позволяет добавлять виджеты вручную из палитры готовых типов, перетаскивать их для смены порядка, настраивать заголовок и источник данных каждого виджета в отдельной панели и, при необходимости прав «write widget code», открыть и отредактировать сгенерированный Python-код напрямую.</w:t>
      </w:r>
    </w:p>
    <w:tbl>
      <w:tblPr>
        <w:tblW w:w="96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689"/>
      </w:tblGrid>
      <w:tr>
        <w:trPr/>
        <w:tc>
          <w:tcPr>
            <w:tcW w:w="9689" w:type="dxa"/>
            <w:tcBorders>
              <w:top w:val="dashed" w:sz="8" w:space="0" w:color="9AA5B1"/>
              <w:start w:val="dashed" w:sz="8" w:space="0" w:color="9AA5B1"/>
              <w:bottom w:val="dashed" w:sz="8" w:space="0" w:color="9AA5B1"/>
              <w:end w:val="dashed" w:sz="8" w:space="0" w:color="9AA5B1"/>
            </w:tcBorders>
            <w:shd w:color="auto" w:fill="F4F6F8" w:val="clear"/>
            <w:vAlign w:val="center"/>
          </w:tcPr>
          <w:p>
            <w:pPr>
              <w:pStyle w:val="Normal"/>
              <w:jc w:val="center"/>
              <w:rPr>
                <w:b/>
                <w:color w:val="6B7684"/>
                <w:sz w:val="26"/>
              </w:rPr>
            </w:pPr>
            <w:r>
              <w:rPr/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15355" cy="3413125"/>
                  <wp:effectExtent l="0" t="0" r="0" b="0"/>
                  <wp:wrapSquare wrapText="largest"/>
                  <wp:docPr id="7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5355" cy="341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i/>
                <w:color w:val="9AA5B1"/>
                <w:sz w:val="22"/>
              </w:rPr>
              <w:t>[вставьте изображение экрана сюда]</w:t>
            </w:r>
          </w:p>
        </w:tc>
      </w:tr>
    </w:tbl>
    <w:p>
      <w:pPr>
        <w:pStyle w:val="Normal"/>
        <w:spacing w:before="0" w:after="240"/>
        <w:jc w:val="center"/>
        <w:rPr/>
      </w:pPr>
      <w:r>
        <w:rPr>
          <w:sz w:val="26"/>
        </w:rPr>
        <w:t>Рисунок 7. Режим конструктора — палитра виджетов и панель настроек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/>
        <w:t>Ручной дашборд не лишён связи с агентом: кнопка «AI Ассистент» заводит для него разговор так же, как для дашборда, выросшего из чата, — дальше с ним можно работать одинаково, независимо от того, как он появился.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>
          <w:b/>
        </w:rPr>
        <w:t xml:space="preserve">Галерея виджетов. </w:t>
      </w:r>
      <w:r>
        <w:rPr/>
        <w:t>Отдельная страница-галерея показывает все типы виджетов, доступные в системе, на демонстрационных данных той же формы, что и в реальных дашбордах, — это справочник возможностей для пользователя и разработчика, с фильтром «только для ИИ» для виджетов, которые агент умеет предлагать самостоятельно.</w:t>
      </w:r>
    </w:p>
    <w:tbl>
      <w:tblPr>
        <w:tblW w:w="96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689"/>
      </w:tblGrid>
      <w:tr>
        <w:trPr/>
        <w:tc>
          <w:tcPr>
            <w:tcW w:w="9689" w:type="dxa"/>
            <w:tcBorders>
              <w:top w:val="dashed" w:sz="8" w:space="0" w:color="9AA5B1"/>
              <w:start w:val="dashed" w:sz="8" w:space="0" w:color="9AA5B1"/>
              <w:bottom w:val="dashed" w:sz="8" w:space="0" w:color="9AA5B1"/>
              <w:end w:val="dashed" w:sz="8" w:space="0" w:color="9AA5B1"/>
            </w:tcBorders>
            <w:shd w:color="auto" w:fill="F4F6F8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b/>
                <w:i/>
                <w:color w:val="9AA5B1"/>
                <w:sz w:val="22"/>
              </w:rPr>
            </w:pPr>
            <w:r>
              <w:rPr/>
              <w:drawing>
                <wp:anchor distT="0" distB="0" distL="0" distR="0" simplePos="0" relativeHeight="9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15355" cy="3413125"/>
                  <wp:effectExtent l="0" t="0" r="0" b="0"/>
                  <wp:wrapSquare wrapText="largest"/>
                  <wp:docPr id="8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5355" cy="341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40"/>
        <w:jc w:val="center"/>
        <w:rPr/>
      </w:pPr>
      <w:r>
        <w:rPr>
          <w:sz w:val="26"/>
        </w:rPr>
        <w:t>Рисунок 8. Галерея всех типов виджетов на демонстрационных данных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>
          <w:b/>
          <w:sz w:val="28"/>
        </w:rPr>
        <w:t>Внедрение системы и её результаты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/>
        <w:t>Внедрение «Datavue» в работу компании сокращает путь от вопроса до ответа: сотрудник без навыков SQL и программирования получает готовый дашборд за минуты, а не через очередь заявок к аналитику или разработчику. Механизм перегенерации и автоматической починки кода снижает влияние человеческого фактора — ошибки в расчётах обнаруживаются и исправляются системой ещё до того, как дашборд попадёт к пользователю.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/>
        <w:t>Поддержка нескольких типов источников данных — от локального файла Excel до промышленной базы PostgreSQL — позволяет применять систему как для разовой задачи на выгруженном файле, так и для постоянной работы с боевой базой данных компании, без необходимости заранее готовить данные под конкретный инструмент BI.</w:t>
      </w:r>
    </w:p>
    <w:p>
      <w:pPr>
        <w:pStyle w:val="Normal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>
          <w:b/>
          <w:sz w:val="28"/>
        </w:rPr>
        <w:t>Техническая часть проекта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/>
        <w:t>Backend системы построен на Laravel 13 (PHP 8.3+) с очередями заданий и Laravel Reverb для доставки статусов генерации в реальном времени. Frontend — три независимых приложения на Vue 3 (публичная часть, кабинет компании и административная панель), собранные через Vite. За подключение к источникам данных отвечают отдельные провайдеры для MySQL, PostgreSQL, SQLite и DuckDB, а аналитический код, который агент генерирует под конкретный запрос, выполняется в изолированном Python-окружении (pandas, duckdb, mysql-connector-python). Для работы ИИ-агента используется OpenAI API.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/>
        <w:t>Для развёртывания системы необходим сервер с PHP 8.3+, Node.js, Python 3, MySQL (или иной источник для очередей и кэша) и доступом в интернет для обращения к OpenAI API; масштаб инфраструктуры и условия использования определяются по договорённости в зависимости от объёма данных и числа сотрудников компании.</w:t>
      </w:r>
    </w:p>
    <w:p>
      <w:pPr>
        <w:pStyle w:val="Normal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>
          <w:b/>
          <w:sz w:val="28"/>
        </w:rPr>
        <w:t>Заключение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/>
        <w:t>В условиях, когда решения всё чаще принимаются на основе данных, а не интуиции, скорость получения аналитики становится конкурентным преимуществом. Система «Datavue» снимает главный барьер на этом пути — необходимость привлекать разработчика для каждого нового отчёта, — и делает построение BI-дашбордов задачей одного диалога с ИИ-агентом на естественном языке.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/>
        <w:t>Архитектура системы, где источник данных, рабочее пространство и разговор с агентом разделены явно, позволяет развивать платформу дальше: добавлять новые типы источников и провайдеров без изменений на фронтенде, расширять каталог виджетов и обучать агента новым сценариям правок — без пересмотра уже построенных дашбордов.</w:t>
      </w:r>
    </w:p>
    <w:p>
      <w:pPr>
        <w:pStyle w:val="Normal"/>
        <w:spacing w:lineRule="auto" w:line="276" w:before="0" w:after="120"/>
        <w:ind w:firstLine="709"/>
        <w:jc w:val="both"/>
        <w:rPr/>
      </w:pPr>
      <w:r>
        <w:rPr/>
        <w:t>Способность системы самостоятельно проверять и переписывать сгенерированный код делает её пригодной не только для разовых отчётов, но и для постоянной аналитической работы, где важны надёжность и объективность расчёта показателей. Такой инструмент может быть полезен компании любого масштаба — от небольшой команды до организации с несколькими источниками данных и десятками сотрудников.</w:t>
      </w:r>
    </w:p>
    <w:sectPr>
      <w:footerReference w:type="even" r:id="rId10"/>
      <w:footerReference w:type="default" r:id="rId11"/>
      <w:footerReference w:type="first" r:id="rId12"/>
      <w:type w:val="nextPage"/>
      <w:pgSz w:w="12240" w:h="15840"/>
      <w:pgMar w:left="1701" w:right="850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LibreOffice/26.2.5.2$Linux_X86_64 LibreOffice_project/6d2b0d33fb0f5da53a12f98bed3e9973e56ff1f0</Application>
  <AppVersion>15.0000</AppVersion>
  <Pages>10</Pages>
  <Words>1178</Words>
  <Characters>7628</Characters>
  <CharactersWithSpaces>8795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2026-08-22T11:40:58Z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