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CONSTRUCTION CONTRACT</w:t>
      </w:r>
    </w:p>
    <w:p>
      <w:pPr>
        <w:pStyle w:val="MdParagraph"/>
      </w:pPr>
      <w:r>
        <w:rPr>
          <w:rStyle w:val="MdStrong"/>
          <w:b/>
          <w:bCs/>
        </w:rPr>
        <w:t xml:space="preserve">Project Name:</w:t>
      </w:r>
      <w:r>
        <w:t xml:space="preserve"> Eco-Green Residences @ Cyberjaya</w:t>
      </w:r>
    </w:p>
    <w:p>
      <w:pPr>
        <w:pStyle w:val="MdSpace"/>
        <w:spacing w:before="0" w:after="60"/>
      </w:pPr>
    </w:p>
    <w:p>
      <w:pPr>
        <w:pStyle w:val="MdParagraph"/>
      </w:pPr>
      <w:r>
        <w:rPr>
          <w:rStyle w:val="MdStrong"/>
          <w:b/>
          <w:bCs/>
        </w:rPr>
        <w:t xml:space="preserve">Contract No.:</w:t>
      </w:r>
      <w:r>
        <w:t xml:space="preserve"> EB-PK-2026-001</w:t>
      </w:r>
    </w:p>
    <w:p>
      <w:pPr>
        <w:pStyle w:val="MdSpace"/>
        <w:spacing w:before="0" w:after="60"/>
      </w:pPr>
    </w:p>
    <w:p>
      <w:pPr>
        <w:pStyle w:val="MdParagraph"/>
      </w:pPr>
      <w:r>
        <w:rPr>
          <w:rStyle w:val="MdStrong"/>
          <w:b/>
          <w:bCs/>
        </w:rPr>
        <w:t xml:space="preserve">Date:</w:t>
      </w:r>
      <w:r>
        <w:t xml:space="preserve"> 1st May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PARTIES</w:t>
      </w:r>
    </w:p>
    <w:p>
      <w:pPr>
        <w:pStyle w:val="MdParagraph"/>
      </w:pPr>
      <w:r>
        <w:t xml:space="preserve">This Construction Contract (hereinafter referred to as "the Contract") is made and entered into on this </w:t>
      </w:r>
      <w:r>
        <w:rPr>
          <w:rStyle w:val="MdStrong"/>
          <w:b/>
          <w:bCs/>
        </w:rPr>
        <w:t xml:space="preserve">1st day of May, 2026</w:t>
      </w:r>
      <w:r>
        <w:t xml:space="preserve">,</w:t>
      </w:r>
    </w:p>
    <w:p>
      <w:pPr>
        <w:pStyle w:val="MdSpace"/>
        <w:spacing w:before="0" w:after="60"/>
      </w:pPr>
    </w:p>
    <w:p>
      <w:pPr>
        <w:pStyle w:val="MdParagraph"/>
      </w:pPr>
      <w:r>
        <w:rPr>
          <w:rStyle w:val="MdStrong"/>
          <w:b/>
          <w:bCs/>
        </w:rPr>
        <w:t xml:space="preserve">BETWEEN:</w:t>
      </w:r>
    </w:p>
    <w:p>
      <w:pPr>
        <w:pStyle w:val="MdSpace"/>
        <w:spacing w:before="0" w:after="60"/>
      </w:pPr>
    </w:p>
    <w:p>
      <w:pPr>
        <w:pStyle w:val="MdParagraph"/>
      </w:pPr>
      <w:r>
        <w:rPr>
          <w:rStyle w:val="MdStrong"/>
          <w:b/>
          <w:bCs/>
        </w:rPr>
        <w:t xml:space="preserve">EcoBuild Developments Sdn. Bhd.</w:t>
      </w:r>
      <w:r>
        <w:t xml:space="preserve"> (Company Registration No.: 123456-A), a company incorporated under the laws of Malaysia and having its registered office at Level 10, Menara Hijau, Jalan Eco, 50450 Kuala Lumpur, Malaysia (hereinafter referred to as "the Client"), and represented herein by </w:t>
      </w:r>
      <w:r>
        <w:rPr>
          <w:rStyle w:val="MdStrong"/>
          <w:b/>
          <w:bCs/>
        </w:rPr>
        <w:t xml:space="preserve">Mr. Tan Kian Meng (Project Director)</w:t>
      </w:r>
      <w:r>
        <w:t xml:space="preserve">.</w:t>
      </w:r>
    </w:p>
    <w:p>
      <w:pPr>
        <w:pStyle w:val="MdSpace"/>
        <w:spacing w:before="0" w:after="60"/>
      </w:pPr>
    </w:p>
    <w:p>
      <w:pPr>
        <w:pStyle w:val="MdParagraph"/>
      </w:pPr>
      <w:r>
        <w:rPr>
          <w:rStyle w:val="MdStrong"/>
          <w:b/>
          <w:bCs/>
        </w:rPr>
        <w:t xml:space="preserve">AND</w:t>
      </w:r>
    </w:p>
    <w:p>
      <w:pPr>
        <w:pStyle w:val="MdSpace"/>
        <w:spacing w:before="0" w:after="60"/>
      </w:pPr>
    </w:p>
    <w:p>
      <w:pPr>
        <w:pStyle w:val="MdParagraph"/>
      </w:pPr>
      <w:r>
        <w:rPr>
          <w:rStyle w:val="MdStrong"/>
          <w:b/>
          <w:bCs/>
        </w:rPr>
        <w:t xml:space="preserve">Prima Konstruk Sdn. Bhd.</w:t>
      </w:r>
      <w:r>
        <w:t xml:space="preserve"> (Company Registration No.: 789012-V), a company incorporated under the laws of Malaysia and having its registered office at Lot 3, Kawasan Perindustrian Maju, 47100 Puchong, Selangor, Malaysia (hereinafter referred to as "the Contractor"), and represented herein by </w:t>
      </w:r>
      <w:r>
        <w:rPr>
          <w:rStyle w:val="MdStrong"/>
          <w:b/>
          <w:bCs/>
        </w:rPr>
        <w:t xml:space="preserve">Ir. Siti Nurhaliza Binti Ahmad (Project Manager)</w:t>
      </w:r>
      <w:r>
        <w:t xml:space="preserve">.</w:t>
      </w:r>
    </w:p>
    <w:p>
      <w:pPr>
        <w:pStyle w:val="MdSpace"/>
        <w:spacing w:before="0" w:after="60"/>
      </w:pPr>
    </w:p>
    <w:p>
      <w:pPr>
        <w:pStyle w:val="MdParagraph"/>
      </w:pPr>
      <w:r>
        <w:t xml:space="preserve">(The Client and the Contractor hereinafter collectively referred to as "the Parties" and individually as "a Party")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RECITALS</w:t>
      </w:r>
    </w:p>
    <w:p>
      <w:pPr>
        <w:pStyle w:val="MdParagraph"/>
      </w:pPr>
      <w:r>
        <w:t xml:space="preserve">A. The Client is desirous of constructing a twenty (20) storey eco-friendly residential building with two hundred and fifty (250) units, including common facilities and landscaping, to be known as "Eco-Green Residences @ Cyberjaya" (hereinafter referred to as "the Project").</w:t>
      </w:r>
    </w:p>
    <w:p>
      <w:pPr>
        <w:pStyle w:val="MdSpace"/>
        <w:spacing w:before="0" w:after="60"/>
      </w:pPr>
    </w:p>
    <w:p>
      <w:pPr>
        <w:pStyle w:val="MdParagraph"/>
      </w:pPr>
      <w:r>
        <w:t xml:space="preserve">B. The Project is located at Persiaran Eco-Green, Cyber 10, 63000 Cyberjaya, Selangor, Malaysia.</w:t>
      </w:r>
    </w:p>
    <w:p>
      <w:pPr>
        <w:pStyle w:val="MdSpace"/>
        <w:spacing w:before="0" w:after="60"/>
      </w:pPr>
    </w:p>
    <w:p>
      <w:pPr>
        <w:pStyle w:val="MdParagraph"/>
      </w:pPr>
      <w:r>
        <w:t xml:space="preserve">C. The Contractor is a company specializing in construction works and has represented to the Client that it possesses the necessary expertise, experience, and resources to undertake and complete the Project in accordance with the terms and conditions of this Contract.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SCOPE OF WORKS</w:t>
      </w:r>
    </w:p>
    <w:p>
      <w:pPr>
        <w:pStyle w:val="MdParagraph"/>
      </w:pPr>
      <w:r>
        <w:t xml:space="preserve">The Contractor shall execute, complete, and maintain the Project in strict accordance with the Contract Documents, which include, but are not limited to, the architectural drawings, structural drawings, mechanical and electrical drawings, specifications, bills of quantities, and any other documents as may be issued by the Client or its authorized representative from time to time.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CONTRACT SUM</w:t>
      </w:r>
    </w:p>
    <w:p>
      <w:pPr>
        <w:pStyle w:val="MdParagraph"/>
      </w:pPr>
      <w:r>
        <w:t xml:space="preserve">The total contract sum for the execution and completion of the Project shall be </w:t>
      </w:r>
      <w:r>
        <w:rPr>
          <w:rStyle w:val="MdStrong"/>
          <w:b/>
          <w:bCs/>
        </w:rPr>
        <w:t xml:space="preserve">RINGGIT MALAYSIA SEVENTY-FIVE MILLION (RM 75,000,000.00)</w:t>
      </w:r>
      <w:r>
        <w:t xml:space="preserve"> only, as detailed in the Bill of Quantities attached hereto as Appendix 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COMMENCEMENT AND COMPLETION</w:t>
      </w:r>
    </w:p>
    <w:p>
      <w:pPr>
        <w:pStyle w:val="MdParagraph"/>
      </w:pPr>
      <w:r>
        <w:rPr>
          <w:rStyle w:val="MdStrong"/>
          <w:b/>
          <w:bCs/>
        </w:rPr>
        <w:t xml:space="preserve">3.1. Commencement Date:</w:t>
      </w:r>
      <w:r>
        <w:t xml:space="preserve"> The Contractor shall commence the Works on </w:t>
      </w:r>
      <w:r>
        <w:rPr>
          <w:rStyle w:val="MdStrong"/>
          <w:b/>
          <w:bCs/>
        </w:rPr>
        <w:t xml:space="preserve">1st May 2026</w:t>
      </w:r>
      <w:r>
        <w:t xml:space="preserve">.</w:t>
      </w:r>
    </w:p>
    <w:p>
      <w:pPr>
        <w:pStyle w:val="MdSpace"/>
        <w:spacing w:before="0" w:after="60"/>
      </w:pPr>
    </w:p>
    <w:p>
      <w:pPr>
        <w:pStyle w:val="MdParagraph"/>
      </w:pPr>
      <w:r>
        <w:rPr>
          <w:rStyle w:val="MdStrong"/>
          <w:b/>
          <w:bCs/>
        </w:rPr>
        <w:t xml:space="preserve">3.2. Completion Date:</w:t>
      </w:r>
      <w:r>
        <w:t xml:space="preserve"> The Contractor shall achieve Practical Completion of the Works by </w:t>
      </w:r>
      <w:r>
        <w:rPr>
          <w:rStyle w:val="MdStrong"/>
          <w:b/>
          <w:bCs/>
        </w:rPr>
        <w:t xml:space="preserve">30th April 2028</w:t>
      </w:r>
      <w:r>
        <w:t xml:space="preserve">.</w:t>
      </w:r>
    </w:p>
    <w:p>
      <w:pPr>
        <w:pStyle w:val="MdSpace"/>
        <w:spacing w:before="0" w:after="60"/>
      </w:pPr>
    </w:p>
    <w:p>
      <w:pPr>
        <w:pStyle w:val="MdParagraph"/>
      </w:pPr>
      <w:r>
        <w:rPr>
          <w:rStyle w:val="MdStrong"/>
          <w:b/>
          <w:bCs/>
        </w:rPr>
        <w:t xml:space="preserve">3.3. Contract Duration:</w:t>
      </w:r>
      <w:r>
        <w:t xml:space="preserve"> The total duration for the completion of the Works shall be </w:t>
      </w:r>
      <w:r>
        <w:rPr>
          <w:rStyle w:val="MdStrong"/>
          <w:b/>
          <w:bCs/>
        </w:rPr>
        <w:t xml:space="preserve">Twenty-Four (24) Months</w:t>
      </w:r>
      <w:r>
        <w:t xml:space="preserve"> from the Commencement Date.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PAYMENT SCHEDULE</w:t>
      </w:r>
    </w:p>
    <w:p>
      <w:pPr>
        <w:pStyle w:val="MdParagraph"/>
      </w:pPr>
      <w:r>
        <w:t xml:space="preserve">Payments shall be made by the Client to the Contractor in accordance with the following schedule, subject to certification by the Client's Superintending Officer: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Payment Stage</w:t>
            </w:r>
          </w:p>
        </w:tc>
        <w:tc>
          <w:tcPr>
            <w:tcMar>
              <w:top w:type="dxa" w:w="100"/>
              <w:left w:type="dxa" w:w="120"/>
              <w:bottom w:type="dxa" w:w="100"/>
              <w:right w:type="dxa" w:w="120"/>
            </w:tcMar>
            <w:vAlign w:val="center"/>
          </w:tcPr>
          <w:p>
            <w:pPr>
              <w:pStyle w:val="MdTableHeader"/>
              <w:jc w:val="center"/>
            </w:pPr>
            <w:r>
              <w:t xml:space="preserve">Percentage of Contract Sum</w:t>
            </w:r>
          </w:p>
        </w:tc>
        <w:tc>
          <w:tcPr>
            <w:tcMar>
              <w:top w:type="dxa" w:w="100"/>
              <w:left w:type="dxa" w:w="120"/>
              <w:bottom w:type="dxa" w:w="100"/>
              <w:right w:type="dxa" w:w="120"/>
            </w:tcMar>
            <w:vAlign w:val="center"/>
          </w:tcPr>
          <w:p>
            <w:pPr>
              <w:pStyle w:val="MdTableHeader"/>
              <w:jc w:val="center"/>
            </w:pPr>
            <w:r>
              <w:t xml:space="preserve">Amount (RM)</w:t>
            </w:r>
          </w:p>
        </w:tc>
        <w:tc>
          <w:tcPr>
            <w:tcBorders>
              <w:right w:val="none"/>
            </w:tcBorders>
            <w:tcMar>
              <w:top w:type="dxa" w:w="100"/>
              <w:left w:type="dxa" w:w="120"/>
              <w:bottom w:type="dxa" w:w="100"/>
              <w:right w:type="dxa" w:w="120"/>
            </w:tcMar>
            <w:vAlign w:val="center"/>
          </w:tcPr>
          <w:p>
            <w:pPr>
              <w:pStyle w:val="MdTableHeader"/>
              <w:jc w:val="left"/>
            </w:pPr>
            <w:r>
              <w:t xml:space="preserve">Due 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Mobilization</w:t>
            </w:r>
          </w:p>
        </w:tc>
        <w:tc>
          <w:tcPr>
            <w:tcMar>
              <w:top w:type="dxa" w:w="80"/>
              <w:left w:type="dxa" w:w="120"/>
              <w:bottom w:type="dxa" w:w="80"/>
              <w:right w:type="dxa" w:w="120"/>
            </w:tcMar>
            <w:vAlign w:val="center"/>
          </w:tcPr>
          <w:p>
            <w:pPr>
              <w:pStyle w:val="MdTableCell"/>
              <w:jc w:val="center"/>
            </w:pPr>
            <w:r>
              <w:t xml:space="preserve">10%</w:t>
            </w:r>
          </w:p>
        </w:tc>
        <w:tc>
          <w:tcPr>
            <w:tcMar>
              <w:top w:type="dxa" w:w="80"/>
              <w:left w:type="dxa" w:w="120"/>
              <w:bottom w:type="dxa" w:w="80"/>
              <w:right w:type="dxa" w:w="120"/>
            </w:tcMar>
            <w:vAlign w:val="center"/>
          </w:tcPr>
          <w:p>
            <w:pPr>
              <w:pStyle w:val="MdTableCell"/>
              <w:jc w:val="center"/>
            </w:pPr>
            <w:r>
              <w:t xml:space="preserve">7,500,000.00</w:t>
            </w:r>
          </w:p>
        </w:tc>
        <w:tc>
          <w:tcPr>
            <w:tcBorders>
              <w:right w:val="none"/>
            </w:tcBorders>
            <w:tcMar>
              <w:top w:type="dxa" w:w="80"/>
              <w:left w:type="dxa" w:w="120"/>
              <w:bottom w:type="dxa" w:w="80"/>
              <w:right w:type="dxa" w:w="120"/>
            </w:tcMar>
            <w:vAlign w:val="center"/>
          </w:tcPr>
          <w:p>
            <w:pPr>
              <w:pStyle w:val="MdTableCell"/>
              <w:jc w:val="left"/>
            </w:pPr>
            <w:r>
              <w:t xml:space="preserve">2026-05-15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Foundation Works Completion</w:t>
            </w:r>
          </w:p>
        </w:tc>
        <w:tc>
          <w:tcPr>
            <w:tcMar>
              <w:top w:type="dxa" w:w="80"/>
              <w:left w:type="dxa" w:w="120"/>
              <w:bottom w:type="dxa" w:w="80"/>
              <w:right w:type="dxa" w:w="120"/>
            </w:tcMar>
            <w:vAlign w:val="center"/>
          </w:tcPr>
          <w:p>
            <w:pPr>
              <w:pStyle w:val="MdTableCell"/>
              <w:jc w:val="center"/>
            </w:pPr>
            <w:r>
              <w:t xml:space="preserve">20%</w:t>
            </w:r>
          </w:p>
        </w:tc>
        <w:tc>
          <w:tcPr>
            <w:tcMar>
              <w:top w:type="dxa" w:w="80"/>
              <w:left w:type="dxa" w:w="120"/>
              <w:bottom w:type="dxa" w:w="80"/>
              <w:right w:type="dxa" w:w="120"/>
            </w:tcMar>
            <w:vAlign w:val="center"/>
          </w:tcPr>
          <w:p>
            <w:pPr>
              <w:pStyle w:val="MdTableCell"/>
              <w:jc w:val="center"/>
            </w:pPr>
            <w:r>
              <w:t xml:space="preserve">15,000,000.00</w:t>
            </w:r>
          </w:p>
        </w:tc>
        <w:tc>
          <w:tcPr>
            <w:tcBorders>
              <w:right w:val="none"/>
            </w:tcBorders>
            <w:tcMar>
              <w:top w:type="dxa" w:w="80"/>
              <w:left w:type="dxa" w:w="120"/>
              <w:bottom w:type="dxa" w:w="80"/>
              <w:right w:type="dxa" w:w="120"/>
            </w:tcMar>
            <w:vAlign w:val="center"/>
          </w:tcPr>
          <w:p>
            <w:pPr>
              <w:pStyle w:val="MdTableCell"/>
              <w:jc w:val="left"/>
            </w:pPr>
            <w:r>
              <w:t xml:space="preserve">2026-09-15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Structural Frame (Level 10) Completion</w:t>
            </w:r>
          </w:p>
        </w:tc>
        <w:tc>
          <w:tcPr>
            <w:tcMar>
              <w:top w:type="dxa" w:w="80"/>
              <w:left w:type="dxa" w:w="120"/>
              <w:bottom w:type="dxa" w:w="80"/>
              <w:right w:type="dxa" w:w="120"/>
            </w:tcMar>
            <w:vAlign w:val="center"/>
          </w:tcPr>
          <w:p>
            <w:pPr>
              <w:pStyle w:val="MdTableCell"/>
              <w:jc w:val="center"/>
            </w:pPr>
            <w:r>
              <w:t xml:space="preserve">30%</w:t>
            </w:r>
          </w:p>
        </w:tc>
        <w:tc>
          <w:tcPr>
            <w:tcMar>
              <w:top w:type="dxa" w:w="80"/>
              <w:left w:type="dxa" w:w="120"/>
              <w:bottom w:type="dxa" w:w="80"/>
              <w:right w:type="dxa" w:w="120"/>
            </w:tcMar>
            <w:vAlign w:val="center"/>
          </w:tcPr>
          <w:p>
            <w:pPr>
              <w:pStyle w:val="MdTableCell"/>
              <w:jc w:val="center"/>
            </w:pPr>
            <w:r>
              <w:t xml:space="preserve">22,500,000.00</w:t>
            </w:r>
          </w:p>
        </w:tc>
        <w:tc>
          <w:tcPr>
            <w:tcBorders>
              <w:right w:val="none"/>
            </w:tcBorders>
            <w:tcMar>
              <w:top w:type="dxa" w:w="80"/>
              <w:left w:type="dxa" w:w="120"/>
              <w:bottom w:type="dxa" w:w="80"/>
              <w:right w:type="dxa" w:w="120"/>
            </w:tcMar>
            <w:vAlign w:val="center"/>
          </w:tcPr>
          <w:p>
            <w:pPr>
              <w:pStyle w:val="MdTableCell"/>
              <w:jc w:val="left"/>
            </w:pPr>
            <w:r>
              <w:t xml:space="preserve">2027-04-15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Building Enclosure Completion</w:t>
            </w:r>
          </w:p>
        </w:tc>
        <w:tc>
          <w:tcPr>
            <w:tcMar>
              <w:top w:type="dxa" w:w="80"/>
              <w:left w:type="dxa" w:w="120"/>
              <w:bottom w:type="dxa" w:w="80"/>
              <w:right w:type="dxa" w:w="120"/>
            </w:tcMar>
            <w:vAlign w:val="center"/>
          </w:tcPr>
          <w:p>
            <w:pPr>
              <w:pStyle w:val="MdTableCell"/>
              <w:jc w:val="center"/>
            </w:pPr>
            <w:r>
              <w:t xml:space="preserve">20%</w:t>
            </w:r>
          </w:p>
        </w:tc>
        <w:tc>
          <w:tcPr>
            <w:tcMar>
              <w:top w:type="dxa" w:w="80"/>
              <w:left w:type="dxa" w:w="120"/>
              <w:bottom w:type="dxa" w:w="80"/>
              <w:right w:type="dxa" w:w="120"/>
            </w:tcMar>
            <w:vAlign w:val="center"/>
          </w:tcPr>
          <w:p>
            <w:pPr>
              <w:pStyle w:val="MdTableCell"/>
              <w:jc w:val="center"/>
            </w:pPr>
            <w:r>
              <w:t xml:space="preserve">15,000,000.00</w:t>
            </w:r>
          </w:p>
        </w:tc>
        <w:tc>
          <w:tcPr>
            <w:tcBorders>
              <w:right w:val="none"/>
            </w:tcBorders>
            <w:tcMar>
              <w:top w:type="dxa" w:w="80"/>
              <w:left w:type="dxa" w:w="120"/>
              <w:bottom w:type="dxa" w:w="80"/>
              <w:right w:type="dxa" w:w="120"/>
            </w:tcMar>
            <w:vAlign w:val="center"/>
          </w:tcPr>
          <w:p>
            <w:pPr>
              <w:pStyle w:val="MdTableCell"/>
              <w:jc w:val="left"/>
            </w:pPr>
            <w:r>
              <w:t xml:space="preserve">2027-11-15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Internal Finishes &amp; M&amp;E First Fix Completion</w:t>
            </w:r>
          </w:p>
        </w:tc>
        <w:tc>
          <w:tcPr>
            <w:tcMar>
              <w:top w:type="dxa" w:w="80"/>
              <w:left w:type="dxa" w:w="120"/>
              <w:bottom w:type="dxa" w:w="80"/>
              <w:right w:type="dxa" w:w="120"/>
            </w:tcMar>
            <w:vAlign w:val="center"/>
          </w:tcPr>
          <w:p>
            <w:pPr>
              <w:pStyle w:val="MdTableCell"/>
              <w:jc w:val="center"/>
            </w:pPr>
            <w:r>
              <w:t xml:space="preserve">15%</w:t>
            </w:r>
          </w:p>
        </w:tc>
        <w:tc>
          <w:tcPr>
            <w:tcMar>
              <w:top w:type="dxa" w:w="80"/>
              <w:left w:type="dxa" w:w="120"/>
              <w:bottom w:type="dxa" w:w="80"/>
              <w:right w:type="dxa" w:w="120"/>
            </w:tcMar>
            <w:vAlign w:val="center"/>
          </w:tcPr>
          <w:p>
            <w:pPr>
              <w:pStyle w:val="MdTableCell"/>
              <w:jc w:val="center"/>
            </w:pPr>
            <w:r>
              <w:t xml:space="preserve">11,250,000.00</w:t>
            </w:r>
          </w:p>
        </w:tc>
        <w:tc>
          <w:tcPr>
            <w:tcBorders>
              <w:right w:val="none"/>
            </w:tcBorders>
            <w:tcMar>
              <w:top w:type="dxa" w:w="80"/>
              <w:left w:type="dxa" w:w="120"/>
              <w:bottom w:type="dxa" w:w="80"/>
              <w:right w:type="dxa" w:w="120"/>
            </w:tcMar>
            <w:vAlign w:val="center"/>
          </w:tcPr>
          <w:p>
            <w:pPr>
              <w:pStyle w:val="MdTableCell"/>
              <w:jc w:val="left"/>
            </w:pPr>
            <w:r>
              <w:t xml:space="preserve">2028-02-15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Final Payment (Retention Release)</w:t>
            </w:r>
          </w:p>
        </w:tc>
        <w:tc>
          <w:tcPr>
            <w:tcBorders>
              <w:bottom w:val="single" w:color="E1E4E8" w:sz="4"/>
            </w:tcBorders>
            <w:tcMar>
              <w:top w:type="dxa" w:w="80"/>
              <w:left w:type="dxa" w:w="120"/>
              <w:bottom w:type="dxa" w:w="80"/>
              <w:right w:type="dxa" w:w="120"/>
            </w:tcMar>
            <w:vAlign w:val="center"/>
          </w:tcPr>
          <w:p>
            <w:pPr>
              <w:pStyle w:val="MdTableCell"/>
              <w:jc w:val="center"/>
            </w:pPr>
            <w:r>
              <w:t xml:space="preserve">5%</w:t>
            </w:r>
          </w:p>
        </w:tc>
        <w:tc>
          <w:tcPr>
            <w:tcBorders>
              <w:bottom w:val="single" w:color="E1E4E8" w:sz="4"/>
            </w:tcBorders>
            <w:tcMar>
              <w:top w:type="dxa" w:w="80"/>
              <w:left w:type="dxa" w:w="120"/>
              <w:bottom w:type="dxa" w:w="80"/>
              <w:right w:type="dxa" w:w="120"/>
            </w:tcMar>
            <w:vAlign w:val="center"/>
          </w:tcPr>
          <w:p>
            <w:pPr>
              <w:pStyle w:val="MdTableCell"/>
              <w:jc w:val="center"/>
            </w:pPr>
            <w:r>
              <w:t xml:space="preserve">3,750,000.00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2028-05-30</w:t>
            </w:r>
          </w:p>
        </w:tc>
      </w:tr>
    </w:tbl>
    <w:p>
      <w:pPr>
        <w:pStyle w:val="MdParagraph"/>
      </w:pPr>
      <w:r>
        <w:rPr>
          <w:rStyle w:val="MdStrong"/>
          <w:b/>
          <w:bCs/>
        </w:rPr>
        <w:t xml:space="preserve">Note:</w:t>
      </w:r>
      <w:r>
        <w:t xml:space="preserve"> A CIDB Levy of 0.125% of the Contract Value (RM 93,750.00) was paid on 2026-05-10.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LIQUIDATED DAMAGES</w:t>
      </w:r>
    </w:p>
    <w:p>
      <w:pPr>
        <w:pStyle w:val="MdParagraph"/>
      </w:pPr>
      <w:r>
        <w:t xml:space="preserve">In the event that the Contractor fails to achieve Practical Completion by the Completion Date, the Contractor shall pay to the Client Liquidated Damages at the rate of </w:t>
      </w:r>
      <w:r>
        <w:rPr>
          <w:rStyle w:val="MdStrong"/>
          <w:b/>
          <w:bCs/>
        </w:rPr>
        <w:t xml:space="preserve">RM 5,000.00 (Ringgit Malaysia Five Thousand Only)</w:t>
      </w:r>
      <w:r>
        <w:t xml:space="preserve"> per day for each day or part thereof that the Works remain incomplete beyond the Completion Date.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INSURANCE</w:t>
      </w:r>
    </w:p>
    <w:p>
      <w:pPr>
        <w:pStyle w:val="MdParagraph"/>
      </w:pPr>
      <w:r>
        <w:t xml:space="preserve">The Contractor shall, within fourteen (14) days from the Letter of Award (2026-05-08), submit proof of adequate insurance coverage, including but not limited to Contractor's All Risks (CAR) insurance, Workmen's Compensation insurance, and Third-Party Liability insurance, as required by the Contract Documents and relevant laws.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GOVERNING LAW</w:t>
      </w:r>
    </w:p>
    <w:p>
      <w:pPr>
        <w:pStyle w:val="MdParagraph"/>
      </w:pPr>
      <w:r>
        <w:t xml:space="preserve">This Contract shall be governed by and construed in accordance with the laws of Malaysia.</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IN WITNESS WHEREOF</w:t>
      </w:r>
      <w:r>
        <w:t xml:space="preserve">, the Parties have executed this Contract on the date first above written.</w:t>
      </w:r>
    </w:p>
    <w:p>
      <w:pPr>
        <w:pStyle w:val="MdSpace"/>
        <w:spacing w:before="0" w:after="60"/>
      </w:pPr>
    </w:p>
    <w:p>
      <w:pPr>
        <w:pStyle w:val="MdParagraph"/>
      </w:pPr>
      <w:r>
        <w:rPr>
          <w:rStyle w:val="MdStrong"/>
          <w:b/>
          <w:bCs/>
        </w:rPr>
        <w:t xml:space="preserve">For and on behalf of EcoBuild Developments Sdn. Bhd.</w:t>
      </w:r>
    </w:p>
    <w:p>
      <w:pPr>
        <w:pStyle w:val="MdSpace"/>
        <w:spacing w:before="0" w:after="60"/>
      </w:pPr>
    </w:p>
    <w:p>
      <w:pPr>
        <w:pStyle w:val="MdHr"/>
        <w:pBdr>
          <w:bottom w:val="single" w:color="auto" w:sz="6" w:space="1"/>
        </w:pBdr>
      </w:pPr>
    </w:p>
    <w:p>
      <w:pPr>
        <w:pStyle w:val="MdParagraph"/>
      </w:pPr>
      <w:r>
        <w:t xml:space="preserve">Mr. Tan Kian Meng</w:t>
      </w:r>
      <w:r>
        <w:br/>
        <w:t xml:space="preserve">Project Director</w:t>
      </w:r>
    </w:p>
    <w:p>
      <w:pPr>
        <w:pStyle w:val="MdSpace"/>
        <w:spacing w:before="0" w:after="60"/>
      </w:pPr>
    </w:p>
    <w:p>
      <w:pPr>
        <w:pStyle w:val="MdParagraph"/>
      </w:pPr>
      <w:r>
        <w:rPr>
          <w:rStyle w:val="MdStrong"/>
          <w:b/>
          <w:bCs/>
        </w:rPr>
        <w:t xml:space="preserve">For and on behalf of Prima Konstruk Sdn. Bhd.</w:t>
      </w:r>
    </w:p>
    <w:p>
      <w:pPr>
        <w:pStyle w:val="MdSpace"/>
        <w:spacing w:before="0" w:after="60"/>
      </w:pPr>
    </w:p>
    <w:p>
      <w:pPr>
        <w:pStyle w:val="MdHr"/>
        <w:pBdr>
          <w:bottom w:val="single" w:color="auto" w:sz="6" w:space="1"/>
        </w:pBdr>
      </w:pPr>
    </w:p>
    <w:p>
      <w:pPr>
        <w:pStyle w:val="MdParagraph"/>
      </w:pPr>
      <w:r>
        <w:t xml:space="preserve">Ir. Siti Nurhaliza Binti Ahmad</w:t>
      </w:r>
      <w:r>
        <w:br/>
        <w:t xml:space="preserve">Project Manager</w:t>
      </w:r>
      <w:r>
        <w:br/>
        <w:t xml:space="preserve">CIDB Registration No.: G7/PPK/012345-2026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2026-04-25T15:30:59.486Z</dcterms:created>
  <dcterms:modified xsi:type="dcterms:W3CDTF">2026-04-25T15:30:59.486Z</dcterms:modified>
</cp:coreProperties>
</file>

<file path=docProps/custom.xml><?xml version="1.0" encoding="utf-8"?>
<Properties xmlns="http://schemas.openxmlformats.org/officeDocument/2006/custom-properties" xmlns:vt="http://schemas.openxmlformats.org/officeDocument/2006/docPropsVTypes"/>
</file>