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491" w:rsidRDefault="00212491" w:rsidP="00212491">
      <w:r>
        <w:t>N</w:t>
      </w:r>
      <w:r>
        <w:rPr>
          <w:rFonts w:hint="eastAsia"/>
        </w:rPr>
        <w:t xml:space="preserve">oninvasive </w:t>
      </w:r>
      <w:r>
        <w:t>gut inflammation detector</w:t>
      </w:r>
    </w:p>
    <w:p w:rsidR="00212491" w:rsidRDefault="00212491" w:rsidP="00212491"/>
    <w:p w:rsidR="00212491" w:rsidRDefault="00212491" w:rsidP="00212491">
      <w:r>
        <w:t>Thiosulfate and tetrathionate are two kinds of chemical compound which would be produced during gut inflammation</w:t>
      </w:r>
      <w:r>
        <w:rPr>
          <w:rStyle w:val="a9"/>
        </w:rPr>
        <w:footnoteReference w:id="1"/>
      </w:r>
      <w:r>
        <w:t>. Although the detailed process and reason for producing them is still unknown, scientists already concluded that the level of thiosulfate and tetrathionate production is directly proportional to the seriousness of gut inflammation</w:t>
      </w:r>
      <w:r>
        <w:rPr>
          <w:rStyle w:val="a9"/>
        </w:rPr>
        <w:footnoteReference w:id="2"/>
      </w:r>
      <w:r>
        <w:t>. Thus, these two molecules became our target for gut inflammation detection. ___</w:t>
      </w:r>
      <w:r>
        <w:rPr>
          <w:rFonts w:hint="eastAsia"/>
        </w:rPr>
        <w:t>可能需要补一张机理图，王宣 two-component</w:t>
      </w:r>
      <w:r>
        <w:t xml:space="preserve"> system</w:t>
      </w:r>
    </w:p>
    <w:p w:rsidR="00212491" w:rsidRDefault="00212491" w:rsidP="00212491">
      <w:r>
        <w:t xml:space="preserve">Until now, scientists are able to detect thiosulfate and tetrathionate using utilized two-component system detector, which includes two parts: detector and reporter. This two-component system detector was gained from marine </w:t>
      </w:r>
      <w:proofErr w:type="spellStart"/>
      <w:r w:rsidRPr="00424075">
        <w:rPr>
          <w:i/>
        </w:rPr>
        <w:t>Shewanella</w:t>
      </w:r>
      <w:proofErr w:type="spellEnd"/>
      <w:r>
        <w:t xml:space="preserve"> species, and previous experiments about gut inflammation detection had used </w:t>
      </w:r>
      <w:proofErr w:type="spellStart"/>
      <w:r>
        <w:t>sfGFP</w:t>
      </w:r>
      <w:proofErr w:type="spellEnd"/>
      <w:r>
        <w:t xml:space="preserve"> to show the result. But we thought this method can be further </w:t>
      </w:r>
      <w:proofErr w:type="gramStart"/>
      <w:r>
        <w:t>improved._</w:t>
      </w:r>
      <w:proofErr w:type="gramEnd"/>
      <w:r>
        <w:t>__补充</w:t>
      </w:r>
      <w:proofErr w:type="spellStart"/>
      <w:r>
        <w:t>gfp</w:t>
      </w:r>
      <w:proofErr w:type="spellEnd"/>
      <w:r>
        <w:t>在缺氧下情况的文献</w:t>
      </w:r>
      <w:r>
        <w:rPr>
          <w:rFonts w:hint="eastAsia"/>
        </w:rPr>
        <w:t>，王宣。</w:t>
      </w:r>
    </w:p>
    <w:p w:rsidR="00212491" w:rsidRPr="00613F6C" w:rsidRDefault="00212491" w:rsidP="00212491">
      <w:r>
        <w:t xml:space="preserve"> </w:t>
      </w:r>
      <w:proofErr w:type="spellStart"/>
      <w:r>
        <w:t>SHSBNU_China</w:t>
      </w:r>
      <w:proofErr w:type="spellEnd"/>
      <w:r>
        <w:t xml:space="preserve"> team worked on changing the reporter part to let the results be shown more clearly and visibly, not requiring specially-produced ultraviolet light nor the long time contact with oxygen. For our bacteria produced, the </w:t>
      </w:r>
      <w:r w:rsidRPr="001B17A6">
        <w:rPr>
          <w:i/>
        </w:rPr>
        <w:t>E.coli</w:t>
      </w:r>
      <w:r>
        <w:t xml:space="preserve"> would produce chromo-protein</w:t>
      </w:r>
      <w:r>
        <w:rPr>
          <w:rStyle w:val="a9"/>
        </w:rPr>
        <w:footnoteReference w:id="3"/>
      </w:r>
      <w:r>
        <w:rPr>
          <w:rFonts w:hint="eastAsia"/>
        </w:rPr>
        <w:t>___引用2处内容：2012uppsala大学的项目（季），chromoprotein的文章（王宣）</w:t>
      </w:r>
      <w:r>
        <w:t xml:space="preserve"> to change into a different color (even in anaerobic environment). Furthermore, to enable the result to be observed more clearly and easily, we had planned to produce a kind of pill, where the </w:t>
      </w:r>
      <w:r w:rsidRPr="00BF5586">
        <w:rPr>
          <w:i/>
        </w:rPr>
        <w:t>E.coli</w:t>
      </w:r>
      <w:r>
        <w:t xml:space="preserve"> is stored, with special walls that would only allow small molecules to get through (like thiosulfate and tetrathionate molecules)</w:t>
      </w:r>
      <w:r>
        <w:rPr>
          <w:rFonts w:hint="eastAsia"/>
        </w:rPr>
        <w:t>___补充细节，</w:t>
      </w:r>
      <w:proofErr w:type="gramStart"/>
      <w:r>
        <w:rPr>
          <w:rFonts w:hint="eastAsia"/>
        </w:rPr>
        <w:t>李帛轩</w:t>
      </w:r>
      <w:proofErr w:type="gramEnd"/>
      <w:r>
        <w:t xml:space="preserve">. Furthermore, despite the normal chromo-proteins can it produce, we designed and produced still another plasmid using violacein in result showing. Violacein can also be produced and show obvious purple color in anaerobic condition, and the special reason for choosing it is that this protein can cure or slow down the inflammation to some degree. </w:t>
      </w:r>
      <w:r>
        <w:rPr>
          <w:rStyle w:val="a9"/>
        </w:rPr>
        <w:footnoteReference w:id="4"/>
      </w:r>
    </w:p>
    <w:p w:rsidR="00212491" w:rsidRDefault="00212491" w:rsidP="00212491">
      <w:r>
        <w:t>This two-component system detector and our project have some potential that it can be further modified to give more treatments while detecting. We also came up with solutions to reduce potential risk in practical treatments; for example, we have the thought of creating kill switches, using DNase to destroy the engineered gene to protect the other bacteria in pati</w:t>
      </w:r>
      <w:bookmarkStart w:id="0" w:name="_GoBack"/>
      <w:bookmarkEnd w:id="0"/>
      <w:r>
        <w:t xml:space="preserve"> </w:t>
      </w:r>
    </w:p>
    <w:p w:rsidR="00212491" w:rsidRDefault="00212491" w:rsidP="00212491">
      <w:pPr>
        <w:widowControl/>
        <w:jc w:val="left"/>
      </w:pPr>
      <w:r>
        <w:lastRenderedPageBreak/>
        <w:br w:type="page"/>
      </w:r>
    </w:p>
    <w:p w:rsidR="009D3983" w:rsidRPr="00212491" w:rsidRDefault="009D3983"/>
    <w:sectPr w:rsidR="009D3983" w:rsidRPr="002124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E00" w:rsidRDefault="00E30E00" w:rsidP="00212491">
      <w:r>
        <w:separator/>
      </w:r>
    </w:p>
  </w:endnote>
  <w:endnote w:type="continuationSeparator" w:id="0">
    <w:p w:rsidR="00E30E00" w:rsidRDefault="00E30E00" w:rsidP="00212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E00" w:rsidRDefault="00E30E00" w:rsidP="00212491">
      <w:r>
        <w:separator/>
      </w:r>
    </w:p>
  </w:footnote>
  <w:footnote w:type="continuationSeparator" w:id="0">
    <w:p w:rsidR="00E30E00" w:rsidRDefault="00E30E00" w:rsidP="00212491">
      <w:r>
        <w:continuationSeparator/>
      </w:r>
    </w:p>
  </w:footnote>
  <w:footnote w:id="1">
    <w:p w:rsidR="00212491" w:rsidRPr="00A13168" w:rsidRDefault="00212491" w:rsidP="00212491">
      <w:pPr>
        <w:pStyle w:val="a7"/>
      </w:pPr>
      <w:r>
        <w:rPr>
          <w:rStyle w:val="a9"/>
        </w:rPr>
        <w:footnoteRef/>
      </w:r>
      <w:r>
        <w:t xml:space="preserve"> </w:t>
      </w:r>
      <w:r w:rsidRPr="00A13168">
        <w:t xml:space="preserve">Levitt MD, </w:t>
      </w:r>
      <w:proofErr w:type="spellStart"/>
      <w:r w:rsidRPr="00A13168">
        <w:t>Furne</w:t>
      </w:r>
      <w:proofErr w:type="spellEnd"/>
      <w:r w:rsidRPr="00A13168">
        <w:t xml:space="preserve"> J, Springfield J, Suarez F, </w:t>
      </w:r>
      <w:proofErr w:type="spellStart"/>
      <w:r w:rsidRPr="00A13168">
        <w:t>DeMaster</w:t>
      </w:r>
      <w:proofErr w:type="spellEnd"/>
      <w:r w:rsidRPr="00A13168">
        <w:t xml:space="preserve"> E (1999) Detoxification of</w:t>
      </w:r>
      <w:r>
        <w:t xml:space="preserve"> hydrogen sulfide and m</w:t>
      </w:r>
      <w:r w:rsidRPr="00A13168">
        <w:t xml:space="preserve">ethanethiol in the </w:t>
      </w:r>
      <w:proofErr w:type="spellStart"/>
      <w:r w:rsidRPr="00A13168">
        <w:t>cecal</w:t>
      </w:r>
      <w:proofErr w:type="spellEnd"/>
      <w:r w:rsidRPr="00A13168">
        <w:t xml:space="preserve"> mucosa. J </w:t>
      </w:r>
      <w:proofErr w:type="spellStart"/>
      <w:r w:rsidRPr="00A13168">
        <w:t>Clin</w:t>
      </w:r>
      <w:proofErr w:type="spellEnd"/>
      <w:r w:rsidRPr="00A13168">
        <w:t xml:space="preserve"> Invest 104:</w:t>
      </w:r>
      <w:r>
        <w:t xml:space="preserve"> </w:t>
      </w:r>
      <w:r w:rsidRPr="00A13168">
        <w:t>1107 – 1114</w:t>
      </w:r>
    </w:p>
  </w:footnote>
  <w:footnote w:id="2">
    <w:p w:rsidR="00212491" w:rsidRDefault="00212491" w:rsidP="00212491">
      <w:pPr>
        <w:pStyle w:val="a7"/>
      </w:pPr>
      <w:r>
        <w:rPr>
          <w:rStyle w:val="a9"/>
        </w:rPr>
        <w:footnoteRef/>
      </w:r>
      <w:r>
        <w:t xml:space="preserve"> </w:t>
      </w:r>
      <w:r>
        <w:rPr>
          <w:rFonts w:hint="eastAsia"/>
        </w:rPr>
        <w:t xml:space="preserve">Kristina N-M </w:t>
      </w:r>
      <w:proofErr w:type="spellStart"/>
      <w:r>
        <w:rPr>
          <w:rFonts w:hint="eastAsia"/>
        </w:rPr>
        <w:t>Daeffler</w:t>
      </w:r>
      <w:proofErr w:type="spellEnd"/>
      <w:r>
        <w:rPr>
          <w:rFonts w:hint="eastAsia"/>
        </w:rPr>
        <w:t xml:space="preserve">, Jeffery D. </w:t>
      </w:r>
      <w:r>
        <w:t xml:space="preserve">Galley, Ravi U </w:t>
      </w:r>
      <w:proofErr w:type="spellStart"/>
      <w:r>
        <w:t>sheth</w:t>
      </w:r>
      <w:proofErr w:type="spellEnd"/>
      <w:r>
        <w:t xml:space="preserve">, Laura C Ortiz-Velez, Christopher O Bibb, Noah F </w:t>
      </w:r>
      <w:proofErr w:type="spellStart"/>
      <w:r>
        <w:t>shroyer</w:t>
      </w:r>
      <w:proofErr w:type="spellEnd"/>
      <w:r>
        <w:t xml:space="preserve">, Robert A </w:t>
      </w:r>
      <w:proofErr w:type="spellStart"/>
      <w:r>
        <w:t>britton</w:t>
      </w:r>
      <w:proofErr w:type="spellEnd"/>
      <w:r>
        <w:t xml:space="preserve">, &amp; </w:t>
      </w:r>
      <w:proofErr w:type="spellStart"/>
      <w:r>
        <w:t>Jefrey</w:t>
      </w:r>
      <w:proofErr w:type="spellEnd"/>
      <w:r>
        <w:t xml:space="preserve"> J Tabor (2017), </w:t>
      </w:r>
      <w:r>
        <w:rPr>
          <w:i/>
        </w:rPr>
        <w:t>Engineering bacterial thiosulfate and tetrathionate sensors for detecting gut inflammation</w:t>
      </w:r>
      <w:r>
        <w:t xml:space="preserve">, </w:t>
      </w:r>
      <w:proofErr w:type="spellStart"/>
      <w:r w:rsidRPr="005F2F0F">
        <w:t>EMBOpress</w:t>
      </w:r>
      <w:proofErr w:type="spellEnd"/>
      <w:r w:rsidRPr="005F2F0F">
        <w:t xml:space="preserve"> </w:t>
      </w:r>
      <w:r>
        <w:t xml:space="preserve">[online]. Available at: </w:t>
      </w:r>
      <w:hyperlink r:id="rId1" w:history="1">
        <w:r w:rsidRPr="00A52A0D">
          <w:rPr>
            <w:rStyle w:val="aa"/>
          </w:rPr>
          <w:t>http://msb.embopress.org/content/13/4/923</w:t>
        </w:r>
      </w:hyperlink>
      <w:r>
        <w:t xml:space="preserve"> [Accessed Oct 11, 2017]</w:t>
      </w:r>
    </w:p>
  </w:footnote>
  <w:footnote w:id="3">
    <w:p w:rsidR="00212491" w:rsidRPr="00013AD7" w:rsidRDefault="00212491" w:rsidP="00212491">
      <w:pPr>
        <w:pStyle w:val="a7"/>
      </w:pPr>
      <w:r>
        <w:rPr>
          <w:rStyle w:val="a9"/>
        </w:rPr>
        <w:footnoteRef/>
      </w:r>
      <w:r>
        <w:t xml:space="preserve"> Ebba </w:t>
      </w:r>
      <w:proofErr w:type="spellStart"/>
      <w:r>
        <w:t>Perman</w:t>
      </w:r>
      <w:proofErr w:type="spellEnd"/>
      <w:r>
        <w:t xml:space="preserve">, </w:t>
      </w:r>
      <w:proofErr w:type="spellStart"/>
      <w:r>
        <w:t>Josefin</w:t>
      </w:r>
      <w:proofErr w:type="spellEnd"/>
      <w:r>
        <w:t xml:space="preserve"> </w:t>
      </w:r>
      <w:proofErr w:type="spellStart"/>
      <w:r>
        <w:rPr>
          <w:rFonts w:ascii="宋体" w:eastAsia="宋体" w:hAnsi="宋体" w:hint="eastAsia"/>
        </w:rPr>
        <w:t>Å</w:t>
      </w:r>
      <w:r>
        <w:t>gren</w:t>
      </w:r>
      <w:proofErr w:type="spellEnd"/>
      <w:r>
        <w:t xml:space="preserve">, </w:t>
      </w:r>
      <w:proofErr w:type="spellStart"/>
      <w:r>
        <w:t>Delyan</w:t>
      </w:r>
      <w:proofErr w:type="spellEnd"/>
      <w:r>
        <w:t xml:space="preserve"> </w:t>
      </w:r>
      <w:proofErr w:type="spellStart"/>
      <w:r>
        <w:t>Georgiev</w:t>
      </w:r>
      <w:proofErr w:type="spellEnd"/>
      <w:r>
        <w:t xml:space="preserve">, Adam Engberg, Fredrik </w:t>
      </w:r>
      <w:proofErr w:type="spellStart"/>
      <w:r>
        <w:t>Lindeberg</w:t>
      </w:r>
      <w:proofErr w:type="spellEnd"/>
      <w:r>
        <w:t xml:space="preserve">, Konrad Gras, Cecilia </w:t>
      </w:r>
      <w:proofErr w:type="spellStart"/>
      <w:r>
        <w:rPr>
          <w:rFonts w:ascii="宋体" w:eastAsia="宋体" w:hAnsi="宋体" w:hint="eastAsia"/>
        </w:rPr>
        <w:t>Å</w:t>
      </w:r>
      <w:r>
        <w:t>lander</w:t>
      </w:r>
      <w:proofErr w:type="spellEnd"/>
      <w:r>
        <w:t xml:space="preserve">, Adrian Silberman, Dianna </w:t>
      </w:r>
      <w:proofErr w:type="spellStart"/>
      <w:r>
        <w:t>Zeleskov</w:t>
      </w:r>
      <w:proofErr w:type="spellEnd"/>
      <w:r>
        <w:t xml:space="preserve">, Annie </w:t>
      </w:r>
      <w:proofErr w:type="spellStart"/>
      <w:r>
        <w:t>Herbertsson</w:t>
      </w:r>
      <w:proofErr w:type="spellEnd"/>
      <w:r>
        <w:t xml:space="preserve">, Joel </w:t>
      </w:r>
      <w:proofErr w:type="spellStart"/>
      <w:r>
        <w:t>Striem</w:t>
      </w:r>
      <w:proofErr w:type="spellEnd"/>
      <w:r>
        <w:t xml:space="preserve">, Anna </w:t>
      </w:r>
      <w:proofErr w:type="spellStart"/>
      <w:r>
        <w:t>Bostr</w:t>
      </w:r>
      <w:r>
        <w:rPr>
          <w:rFonts w:ascii="宋体" w:eastAsia="宋体" w:hAnsi="宋体" w:hint="eastAsia"/>
        </w:rPr>
        <w:t>ö</w:t>
      </w:r>
      <w:r>
        <w:t>m</w:t>
      </w:r>
      <w:proofErr w:type="spellEnd"/>
      <w:r>
        <w:t xml:space="preserve">, Julia Lundgren, Thomas Andersson, Linnea </w:t>
      </w:r>
      <w:proofErr w:type="spellStart"/>
      <w:r>
        <w:t>Westberg</w:t>
      </w:r>
      <w:proofErr w:type="spellEnd"/>
      <w:r>
        <w:t xml:space="preserve">, Kira </w:t>
      </w:r>
      <w:proofErr w:type="spellStart"/>
      <w:r>
        <w:t>Karlsson</w:t>
      </w:r>
      <w:proofErr w:type="spellEnd"/>
      <w:r>
        <w:t xml:space="preserve">, Hanna Eriksson, Dmitry </w:t>
      </w:r>
      <w:proofErr w:type="spellStart"/>
      <w:r>
        <w:t>Laso</w:t>
      </w:r>
      <w:proofErr w:type="spellEnd"/>
      <w:r>
        <w:t>, Bj</w:t>
      </w:r>
      <w:r>
        <w:rPr>
          <w:rFonts w:ascii="宋体" w:eastAsia="宋体" w:hAnsi="宋体" w:hint="eastAsia"/>
        </w:rPr>
        <w:t>ö</w:t>
      </w:r>
      <w:r>
        <w:t xml:space="preserve">rn </w:t>
      </w:r>
      <w:proofErr w:type="spellStart"/>
      <w:r>
        <w:t>Greijer</w:t>
      </w:r>
      <w:proofErr w:type="spellEnd"/>
      <w:r>
        <w:t xml:space="preserve"> (2015) </w:t>
      </w:r>
      <w:proofErr w:type="spellStart"/>
      <w:r w:rsidRPr="00013AD7">
        <w:rPr>
          <w:i/>
        </w:rPr>
        <w:t>Decyclifier</w:t>
      </w:r>
      <w:proofErr w:type="spellEnd"/>
      <w:r w:rsidRPr="00013AD7">
        <w:rPr>
          <w:i/>
        </w:rPr>
        <w:t>: the one path way to rule them all</w:t>
      </w:r>
      <w:r>
        <w:rPr>
          <w:i/>
        </w:rPr>
        <w:t xml:space="preserve"> (Uppsala</w:t>
      </w:r>
      <w:proofErr w:type="gramStart"/>
      <w:r>
        <w:rPr>
          <w:i/>
        </w:rPr>
        <w:t>)</w:t>
      </w:r>
      <w:r>
        <w:t xml:space="preserve"> ,</w:t>
      </w:r>
      <w:proofErr w:type="gramEnd"/>
      <w:r>
        <w:t xml:space="preserve"> iGEM [online]. Available at: </w:t>
      </w:r>
      <w:hyperlink r:id="rId2" w:history="1">
        <w:r w:rsidRPr="00344729">
          <w:rPr>
            <w:rStyle w:val="aa"/>
          </w:rPr>
          <w:t>http://2015.igem.org/Team:Uppsala/Composite_Part</w:t>
        </w:r>
      </w:hyperlink>
      <w:r>
        <w:t xml:space="preserve"> [Accessed Oct 12, 2017]</w:t>
      </w:r>
    </w:p>
  </w:footnote>
  <w:footnote w:id="4">
    <w:p w:rsidR="00212491" w:rsidRDefault="00212491" w:rsidP="00212491">
      <w:pPr>
        <w:pStyle w:val="a7"/>
      </w:pPr>
      <w:r>
        <w:rPr>
          <w:rStyle w:val="a9"/>
        </w:rPr>
        <w:footnoteRef/>
      </w:r>
      <w:r>
        <w:t xml:space="preserve"> Liana </w:t>
      </w:r>
      <w:proofErr w:type="spellStart"/>
      <w:r>
        <w:t>Verinaud</w:t>
      </w:r>
      <w:proofErr w:type="spellEnd"/>
      <w:r>
        <w:t xml:space="preserve">, Stefanie Costa Pinto Lopes, Isabel Cristina </w:t>
      </w:r>
      <w:proofErr w:type="spellStart"/>
      <w:r>
        <w:t>Narajo</w:t>
      </w:r>
      <w:proofErr w:type="spellEnd"/>
      <w:r>
        <w:t xml:space="preserve"> Prado, F</w:t>
      </w:r>
      <w:r>
        <w:rPr>
          <w:rFonts w:ascii="宋体" w:eastAsia="宋体" w:hAnsi="宋体" w:hint="eastAsia"/>
        </w:rPr>
        <w:t>á</w:t>
      </w:r>
      <w:r>
        <w:t xml:space="preserve">bio </w:t>
      </w:r>
      <w:proofErr w:type="spellStart"/>
      <w:r>
        <w:t>Zanucoli</w:t>
      </w:r>
      <w:proofErr w:type="spellEnd"/>
      <w:r>
        <w:t xml:space="preserve">, </w:t>
      </w:r>
      <w:proofErr w:type="spellStart"/>
      <w:r>
        <w:t>Thiao</w:t>
      </w:r>
      <w:proofErr w:type="spellEnd"/>
      <w:r>
        <w:t xml:space="preserve"> Alves da Costa, Ros</w:t>
      </w:r>
      <w:r>
        <w:rPr>
          <w:rFonts w:ascii="宋体" w:eastAsia="宋体" w:hAnsi="宋体" w:hint="eastAsia"/>
        </w:rPr>
        <w:t>á</w:t>
      </w:r>
      <w:r>
        <w:rPr>
          <w:rFonts w:hint="eastAsia"/>
        </w:rPr>
        <w:t xml:space="preserve">ria Di </w:t>
      </w:r>
      <w:proofErr w:type="spellStart"/>
      <w:r>
        <w:rPr>
          <w:rFonts w:hint="eastAsia"/>
        </w:rPr>
        <w:t>Gangi</w:t>
      </w:r>
      <w:proofErr w:type="spellEnd"/>
      <w:r>
        <w:rPr>
          <w:rFonts w:hint="eastAsia"/>
        </w:rPr>
        <w:t xml:space="preserve">, </w:t>
      </w:r>
      <w:proofErr w:type="spellStart"/>
      <w:r>
        <w:rPr>
          <w:rFonts w:hint="eastAsia"/>
        </w:rPr>
        <w:t>Luidy</w:t>
      </w:r>
      <w:proofErr w:type="spellEnd"/>
      <w:r>
        <w:rPr>
          <w:rFonts w:hint="eastAsia"/>
        </w:rPr>
        <w:t xml:space="preserve"> Kazuo </w:t>
      </w:r>
      <w:proofErr w:type="spellStart"/>
      <w:r>
        <w:rPr>
          <w:rFonts w:hint="eastAsia"/>
        </w:rPr>
        <w:t>Issayama</w:t>
      </w:r>
      <w:proofErr w:type="spellEnd"/>
      <w:r>
        <w:rPr>
          <w:rFonts w:hint="eastAsia"/>
        </w:rPr>
        <w:t xml:space="preserve">, Ana Carolina Carvalho, Amanda Pires </w:t>
      </w:r>
      <w:proofErr w:type="spellStart"/>
      <w:r>
        <w:rPr>
          <w:rFonts w:hint="eastAsia"/>
        </w:rPr>
        <w:t>Bonfanti</w:t>
      </w:r>
      <w:proofErr w:type="spellEnd"/>
      <w:r>
        <w:rPr>
          <w:rFonts w:hint="eastAsia"/>
        </w:rPr>
        <w:t xml:space="preserve">, Guilherme </w:t>
      </w:r>
      <w:proofErr w:type="spellStart"/>
      <w:r>
        <w:rPr>
          <w:rFonts w:hint="eastAsia"/>
        </w:rPr>
        <w:t>Francio</w:t>
      </w:r>
      <w:proofErr w:type="spellEnd"/>
      <w:r>
        <w:rPr>
          <w:rFonts w:hint="eastAsia"/>
        </w:rPr>
        <w:t xml:space="preserve"> </w:t>
      </w:r>
      <w:proofErr w:type="spellStart"/>
      <w:r>
        <w:rPr>
          <w:rFonts w:hint="eastAsia"/>
        </w:rPr>
        <w:t>Niederauer</w:t>
      </w:r>
      <w:proofErr w:type="spellEnd"/>
      <w:r>
        <w:rPr>
          <w:rFonts w:hint="eastAsia"/>
        </w:rPr>
        <w:t>, Nelson Duran, F</w:t>
      </w:r>
      <w:r>
        <w:rPr>
          <w:rFonts w:ascii="宋体" w:eastAsia="宋体" w:hAnsi="宋体" w:hint="eastAsia"/>
        </w:rPr>
        <w:t>á</w:t>
      </w:r>
      <w:r>
        <w:rPr>
          <w:rFonts w:hint="eastAsia"/>
        </w:rPr>
        <w:t xml:space="preserve">bio Trindade </w:t>
      </w:r>
      <w:proofErr w:type="spellStart"/>
      <w:r>
        <w:rPr>
          <w:rFonts w:hint="eastAsia"/>
        </w:rPr>
        <w:t>Marah</w:t>
      </w:r>
      <w:r>
        <w:rPr>
          <w:rFonts w:ascii="宋体" w:eastAsia="宋体" w:hAnsi="宋体" w:hint="eastAsia"/>
        </w:rPr>
        <w:t>ã</w:t>
      </w:r>
      <w:r>
        <w:t>o</w:t>
      </w:r>
      <w:proofErr w:type="spellEnd"/>
      <w:r>
        <w:t xml:space="preserve"> Costa, Alexandre </w:t>
      </w:r>
      <w:proofErr w:type="spellStart"/>
      <w:r>
        <w:t>Leite</w:t>
      </w:r>
      <w:proofErr w:type="spellEnd"/>
      <w:r>
        <w:t xml:space="preserve"> Rodrigues Oliveira, Maria Alice da </w:t>
      </w:r>
      <w:proofErr w:type="spellStart"/>
      <w:r>
        <w:t>Curz</w:t>
      </w:r>
      <w:proofErr w:type="spellEnd"/>
      <w:r>
        <w:t xml:space="preserve"> </w:t>
      </w:r>
      <w:proofErr w:type="spellStart"/>
      <w:r>
        <w:t>H</w:t>
      </w:r>
      <w:r w:rsidRPr="003C7203">
        <w:rPr>
          <w:rFonts w:hint="eastAsia"/>
        </w:rPr>
        <w:t>ö</w:t>
      </w:r>
      <w:r w:rsidRPr="003C7203">
        <w:t>fling</w:t>
      </w:r>
      <w:proofErr w:type="spellEnd"/>
      <w:r w:rsidRPr="003C7203">
        <w:t xml:space="preserve">, Dagmar Ruth </w:t>
      </w:r>
      <w:proofErr w:type="spellStart"/>
      <w:r w:rsidRPr="003C7203">
        <w:t>Stach</w:t>
      </w:r>
      <w:proofErr w:type="spellEnd"/>
      <w:r w:rsidRPr="003C7203">
        <w:t xml:space="preserve"> Machado, Rodolfo Tom</w:t>
      </w:r>
      <w:r w:rsidRPr="003C7203">
        <w:rPr>
          <w:rFonts w:hint="eastAsia"/>
        </w:rPr>
        <w:t>é</w:t>
      </w:r>
      <w:r>
        <w:rPr>
          <w:rFonts w:hint="eastAsia"/>
        </w:rPr>
        <w:t xml:space="preserve"> (</w:t>
      </w:r>
      <w:r>
        <w:t>2015</w:t>
      </w:r>
      <w:r>
        <w:rPr>
          <w:rFonts w:hint="eastAsia"/>
        </w:rPr>
        <w:t>)</w:t>
      </w:r>
      <w:r>
        <w:t xml:space="preserve">, </w:t>
      </w:r>
      <w:r>
        <w:rPr>
          <w:i/>
        </w:rPr>
        <w:t>Violacein Treatment Modulates Acute and Chronic Inflammation through the Suppression of Cytokine Production and Induction of Regulatory T Cells</w:t>
      </w:r>
      <w:r>
        <w:t xml:space="preserve">, PLOS one Tenth Anniversary [online]. Available at: </w:t>
      </w:r>
      <w:hyperlink r:id="rId3" w:history="1">
        <w:r w:rsidRPr="009D1EC2">
          <w:rPr>
            <w:rStyle w:val="aa"/>
          </w:rPr>
          <w:t>http://journals.plos.org/plosone/article?id=10.1371/journal.pone.0125409</w:t>
        </w:r>
      </w:hyperlink>
      <w:r>
        <w:t xml:space="preserve"> [Accessed Oct 12, 2017]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DB"/>
    <w:rsid w:val="00212491"/>
    <w:rsid w:val="003466DB"/>
    <w:rsid w:val="009D3983"/>
    <w:rsid w:val="00E30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082BC"/>
  <w15:chartTrackingRefBased/>
  <w15:docId w15:val="{F8173051-AA76-4B9B-8398-675C1A34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dobe 楷体 Std R" w:hAnsi="Times New Roman" w:cs="Times New Roman"/>
        <w:color w:val="000000"/>
        <w:sz w:val="28"/>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2491"/>
    <w:pPr>
      <w:widowControl w:val="0"/>
      <w:jc w:val="both"/>
    </w:pPr>
    <w:rPr>
      <w:rFonts w:asciiTheme="minorHAnsi" w:eastAsiaTheme="minorEastAsia" w:hAnsiTheme="minorHAnsi" w:cstheme="minorBidi"/>
      <w:color w:val="auto"/>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491"/>
    <w:pPr>
      <w:pBdr>
        <w:bottom w:val="single" w:sz="6" w:space="1" w:color="auto"/>
      </w:pBdr>
      <w:tabs>
        <w:tab w:val="center" w:pos="4153"/>
        <w:tab w:val="right" w:pos="8306"/>
      </w:tabs>
      <w:snapToGrid w:val="0"/>
      <w:jc w:val="center"/>
    </w:pPr>
    <w:rPr>
      <w:rFonts w:ascii="Times New Roman" w:eastAsia="Adobe 楷体 Std R" w:hAnsi="Times New Roman" w:cs="Times New Roman"/>
      <w:color w:val="000000"/>
      <w:kern w:val="0"/>
      <w:sz w:val="18"/>
      <w:szCs w:val="18"/>
    </w:rPr>
  </w:style>
  <w:style w:type="character" w:customStyle="1" w:styleId="a4">
    <w:name w:val="页眉 字符"/>
    <w:basedOn w:val="a0"/>
    <w:link w:val="a3"/>
    <w:uiPriority w:val="99"/>
    <w:rsid w:val="00212491"/>
    <w:rPr>
      <w:sz w:val="18"/>
      <w:szCs w:val="18"/>
    </w:rPr>
  </w:style>
  <w:style w:type="paragraph" w:styleId="a5">
    <w:name w:val="footer"/>
    <w:basedOn w:val="a"/>
    <w:link w:val="a6"/>
    <w:uiPriority w:val="99"/>
    <w:unhideWhenUsed/>
    <w:rsid w:val="00212491"/>
    <w:pPr>
      <w:tabs>
        <w:tab w:val="center" w:pos="4153"/>
        <w:tab w:val="right" w:pos="8306"/>
      </w:tabs>
      <w:snapToGrid w:val="0"/>
      <w:jc w:val="left"/>
    </w:pPr>
    <w:rPr>
      <w:rFonts w:ascii="Times New Roman" w:eastAsia="Adobe 楷体 Std R" w:hAnsi="Times New Roman" w:cs="Times New Roman"/>
      <w:color w:val="000000"/>
      <w:kern w:val="0"/>
      <w:sz w:val="18"/>
      <w:szCs w:val="18"/>
    </w:rPr>
  </w:style>
  <w:style w:type="character" w:customStyle="1" w:styleId="a6">
    <w:name w:val="页脚 字符"/>
    <w:basedOn w:val="a0"/>
    <w:link w:val="a5"/>
    <w:uiPriority w:val="99"/>
    <w:rsid w:val="00212491"/>
    <w:rPr>
      <w:sz w:val="18"/>
      <w:szCs w:val="18"/>
    </w:rPr>
  </w:style>
  <w:style w:type="paragraph" w:styleId="a7">
    <w:name w:val="footnote text"/>
    <w:basedOn w:val="a"/>
    <w:link w:val="a8"/>
    <w:uiPriority w:val="99"/>
    <w:semiHidden/>
    <w:unhideWhenUsed/>
    <w:rsid w:val="00212491"/>
    <w:pPr>
      <w:snapToGrid w:val="0"/>
      <w:jc w:val="left"/>
    </w:pPr>
    <w:rPr>
      <w:sz w:val="18"/>
      <w:szCs w:val="18"/>
    </w:rPr>
  </w:style>
  <w:style w:type="character" w:customStyle="1" w:styleId="a8">
    <w:name w:val="脚注文本 字符"/>
    <w:basedOn w:val="a0"/>
    <w:link w:val="a7"/>
    <w:uiPriority w:val="99"/>
    <w:semiHidden/>
    <w:rsid w:val="00212491"/>
    <w:rPr>
      <w:rFonts w:asciiTheme="minorHAnsi" w:eastAsiaTheme="minorEastAsia" w:hAnsiTheme="minorHAnsi" w:cstheme="minorBidi"/>
      <w:color w:val="auto"/>
      <w:kern w:val="2"/>
      <w:sz w:val="18"/>
      <w:szCs w:val="18"/>
    </w:rPr>
  </w:style>
  <w:style w:type="character" w:styleId="a9">
    <w:name w:val="footnote reference"/>
    <w:basedOn w:val="a0"/>
    <w:uiPriority w:val="99"/>
    <w:semiHidden/>
    <w:unhideWhenUsed/>
    <w:rsid w:val="00212491"/>
    <w:rPr>
      <w:vertAlign w:val="superscript"/>
    </w:rPr>
  </w:style>
  <w:style w:type="character" w:styleId="aa">
    <w:name w:val="Hyperlink"/>
    <w:basedOn w:val="a0"/>
    <w:uiPriority w:val="99"/>
    <w:unhideWhenUsed/>
    <w:rsid w:val="002124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journals.plos.org/plosone/article?id=10.1371/journal.pone.0125409" TargetMode="External"/><Relationship Id="rId2" Type="http://schemas.openxmlformats.org/officeDocument/2006/relationships/hyperlink" Target="http://2015.igem.org/Team:Uppsala/Composite_Part" TargetMode="External"/><Relationship Id="rId1" Type="http://schemas.openxmlformats.org/officeDocument/2006/relationships/hyperlink" Target="http://msb.embopress.org/content/13/4/9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张辰</dc:creator>
  <cp:keywords/>
  <dc:description/>
  <cp:lastModifiedBy>张辰</cp:lastModifiedBy>
  <cp:revision>2</cp:revision>
  <dcterms:created xsi:type="dcterms:W3CDTF">2017-10-18T12:39:00Z</dcterms:created>
  <dcterms:modified xsi:type="dcterms:W3CDTF">2017-10-18T12:39:00Z</dcterms:modified>
</cp:coreProperties>
</file>