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19" w:rsidRPr="00637F67" w:rsidRDefault="00637F67" w:rsidP="00637F67">
      <w:pPr>
        <w:ind w:firstLineChars="200" w:firstLine="420"/>
        <w:rPr>
          <w:rFonts w:ascii="AdvSlimb-BK" w:hAnsi="AdvSlimb-BK" w:cs="AdvSlimb-BK"/>
          <w:sz w:val="22"/>
          <w:szCs w:val="17"/>
        </w:rPr>
      </w:pPr>
      <w:r w:rsidRPr="00637F67">
        <w:rPr>
          <w:rFonts w:ascii="AdvSlimb-BK" w:hAnsi="AdvSlimb-BK" w:cs="AdvSlimb-BK"/>
          <w:sz w:val="21"/>
          <w:szCs w:val="17"/>
        </w:rPr>
        <w:t xml:space="preserve"> </w:t>
      </w:r>
      <w:r w:rsidR="000E2119" w:rsidRPr="00637F67">
        <w:rPr>
          <w:rFonts w:ascii="AdvSlimb-BK" w:hAnsi="AdvSlimb-BK" w:cs="AdvSlimb-BK"/>
          <w:sz w:val="22"/>
          <w:szCs w:val="17"/>
        </w:rPr>
        <w:t xml:space="preserve">F </w:t>
      </w:r>
      <w:r w:rsidR="000E2119" w:rsidRPr="00637F67">
        <w:rPr>
          <w:rFonts w:ascii="AdvTTec369687" w:hAnsi="AdvTTec369687" w:cs="AdvTTec369687"/>
          <w:sz w:val="22"/>
          <w:szCs w:val="17"/>
        </w:rPr>
        <w:t xml:space="preserve">= </w:t>
      </w:r>
      <w:r w:rsidR="000E2119" w:rsidRPr="00637F67">
        <w:rPr>
          <w:rFonts w:ascii="AdvSlimb-BK" w:hAnsi="AdvSlimb-BK" w:cs="AdvSlimb-BK"/>
          <w:sz w:val="22"/>
          <w:szCs w:val="17"/>
        </w:rPr>
        <w:t xml:space="preserve">A </w:t>
      </w:r>
      <w:r w:rsidR="000E2119" w:rsidRPr="00637F67">
        <w:rPr>
          <w:rFonts w:ascii="AdvTTec369687" w:hAnsi="AdvTTec369687" w:cs="AdvTTec369687"/>
          <w:sz w:val="22"/>
          <w:szCs w:val="17"/>
        </w:rPr>
        <w:t xml:space="preserve">+ </w:t>
      </w:r>
      <w:r w:rsidR="000E2119" w:rsidRPr="00637F67">
        <w:rPr>
          <w:rFonts w:ascii="AdvSlimb-BK" w:hAnsi="AdvSlimb-BK" w:cs="AdvSlimb-BK"/>
          <w:sz w:val="22"/>
          <w:szCs w:val="17"/>
        </w:rPr>
        <w:t xml:space="preserve">B/(1 </w:t>
      </w:r>
      <w:r w:rsidR="000E2119" w:rsidRPr="00637F67">
        <w:rPr>
          <w:rFonts w:ascii="AdvTTec369687" w:hAnsi="AdvTTec369687" w:cs="AdvTTec369687"/>
          <w:sz w:val="22"/>
          <w:szCs w:val="17"/>
        </w:rPr>
        <w:t xml:space="preserve">+ </w:t>
      </w:r>
      <w:r w:rsidR="000E2119" w:rsidRPr="00637F67">
        <w:rPr>
          <w:rFonts w:ascii="AdvSlimb-BK" w:hAnsi="AdvSlimb-BK" w:cs="AdvSlimb-BK"/>
          <w:sz w:val="22"/>
          <w:szCs w:val="17"/>
        </w:rPr>
        <w:t>(</w:t>
      </w:r>
      <w:r w:rsidR="000E2119" w:rsidRPr="00637F67">
        <w:rPr>
          <w:rFonts w:ascii="AdvSlim-BKI" w:hAnsi="AdvSlim-BKI" w:cs="AdvSlim-BKI"/>
          <w:sz w:val="22"/>
          <w:szCs w:val="17"/>
        </w:rPr>
        <w:t>k</w:t>
      </w:r>
      <w:r w:rsidR="000E2119" w:rsidRPr="00637F67">
        <w:rPr>
          <w:rFonts w:ascii="AdvSlimb-BK" w:hAnsi="AdvSlimb-BK" w:cs="AdvSlimb-BK"/>
          <w:sz w:val="18"/>
          <w:szCs w:val="11"/>
        </w:rPr>
        <w:t>1/2</w:t>
      </w:r>
      <w:r w:rsidR="000E2119" w:rsidRPr="00637F67">
        <w:rPr>
          <w:rFonts w:ascii="AdvSlimb-BK" w:hAnsi="AdvSlimb-BK" w:cs="AdvSlimb-BK"/>
          <w:sz w:val="22"/>
          <w:szCs w:val="17"/>
        </w:rPr>
        <w:t>/L)</w:t>
      </w:r>
      <w:r w:rsidR="000E2119" w:rsidRPr="00637F67">
        <w:rPr>
          <w:rFonts w:ascii="AdvSlim-BKI" w:hAnsi="AdvSlim-BKI" w:cs="AdvSlim-BKI"/>
          <w:sz w:val="18"/>
          <w:szCs w:val="11"/>
        </w:rPr>
        <w:t>n</w:t>
      </w:r>
      <w:r w:rsidR="000E2119" w:rsidRPr="00637F67">
        <w:rPr>
          <w:rFonts w:ascii="AdvSlimb-BK" w:hAnsi="AdvSlimb-BK" w:cs="AdvSlimb-BK"/>
          <w:sz w:val="22"/>
          <w:szCs w:val="17"/>
        </w:rPr>
        <w:t>)</w:t>
      </w:r>
      <w:r w:rsidR="00C00CFB">
        <w:rPr>
          <w:rFonts w:ascii="AdvSlimb-BK" w:hAnsi="AdvSlimb-BK" w:cs="AdvSlimb-BK"/>
          <w:sz w:val="22"/>
          <w:szCs w:val="17"/>
        </w:rPr>
        <w:t xml:space="preserve">     </w:t>
      </w:r>
      <w:bookmarkStart w:id="0" w:name="_Hlk496447530"/>
    </w:p>
    <w:p w:rsidR="000E2119" w:rsidRDefault="000E2119" w:rsidP="002571AE">
      <w:pPr>
        <w:rPr>
          <w:rFonts w:ascii="AdvSlimb-BK" w:hAnsi="AdvSlimb-BK" w:cs="AdvSlimb-BK"/>
          <w:sz w:val="17"/>
          <w:szCs w:val="17"/>
        </w:rPr>
      </w:pPr>
      <w:bookmarkStart w:id="1" w:name="_Hlk496447553"/>
      <w:r>
        <w:rPr>
          <w:rFonts w:ascii="AdvSlimb-BK" w:hAnsi="AdvSlimb-BK" w:cs="AdvSlimb-BK"/>
          <w:sz w:val="17"/>
          <w:szCs w:val="17"/>
        </w:rPr>
        <w:t>F = Florescence</w:t>
      </w:r>
    </w:p>
    <w:p w:rsidR="00637F67" w:rsidRDefault="00637F67" w:rsidP="002571AE">
      <w:pPr>
        <w:rPr>
          <w:rFonts w:ascii="AdvSlimb-BK" w:hAnsi="AdvSlimb-BK" w:cs="AdvSlimb-BK"/>
          <w:sz w:val="17"/>
          <w:szCs w:val="17"/>
        </w:rPr>
      </w:pPr>
      <w:bookmarkStart w:id="2" w:name="_Hlk496447561"/>
      <w:bookmarkEnd w:id="1"/>
      <w:r>
        <w:rPr>
          <w:rFonts w:ascii="AdvSlimb-BK" w:hAnsi="AdvSlimb-BK" w:cs="AdvSlimb-BK"/>
          <w:sz w:val="17"/>
          <w:szCs w:val="17"/>
        </w:rPr>
        <w:t>A = the</w:t>
      </w:r>
      <w:r>
        <w:rPr>
          <w:rFonts w:ascii="AdvSlimb-BK" w:hAnsi="AdvSlimb-BK" w:cs="AdvSlimb-BK" w:hint="eastAsia"/>
          <w:sz w:val="17"/>
          <w:szCs w:val="17"/>
        </w:rPr>
        <w:t xml:space="preserve"> </w:t>
      </w:r>
      <w:r w:rsidRPr="00637F67">
        <w:rPr>
          <w:rFonts w:ascii="AdvSlimb-BK" w:hAnsi="AdvSlimb-BK" w:cs="AdvSlimb-BK"/>
          <w:sz w:val="17"/>
          <w:szCs w:val="17"/>
        </w:rPr>
        <w:t xml:space="preserve">fit of the minimum response with no </w:t>
      </w:r>
      <w:r w:rsidR="002571AE">
        <w:rPr>
          <w:rFonts w:ascii="AdvSlimb-BK" w:hAnsi="AdvSlimb-BK" w:cs="AdvSlimb-BK"/>
          <w:sz w:val="17"/>
          <w:szCs w:val="17"/>
        </w:rPr>
        <w:t>thiosulfate</w:t>
      </w:r>
    </w:p>
    <w:p w:rsidR="00637F67" w:rsidRDefault="00637F67" w:rsidP="002571AE">
      <w:pPr>
        <w:rPr>
          <w:rFonts w:ascii="AdvSlimb-BK" w:hAnsi="AdvSlimb-BK" w:cs="AdvSlimb-BK"/>
          <w:sz w:val="17"/>
          <w:szCs w:val="17"/>
        </w:rPr>
      </w:pPr>
      <w:bookmarkStart w:id="3" w:name="_Hlk496447564"/>
      <w:bookmarkEnd w:id="2"/>
      <w:r>
        <w:rPr>
          <w:rFonts w:ascii="AdvSlimb-BK" w:hAnsi="AdvSlimb-BK" w:cs="AdvSlimb-BK"/>
          <w:sz w:val="17"/>
          <w:szCs w:val="17"/>
        </w:rPr>
        <w:t>B = the maximum response at saturating thiosulfate concentration</w:t>
      </w:r>
    </w:p>
    <w:p w:rsidR="00637F67" w:rsidRDefault="00637F67" w:rsidP="002571AE">
      <w:pPr>
        <w:rPr>
          <w:rFonts w:ascii="AdvSlimb-BK" w:hAnsi="AdvSlimb-BK" w:cs="AdvSlimb-BK"/>
          <w:sz w:val="17"/>
          <w:szCs w:val="17"/>
        </w:rPr>
      </w:pPr>
      <w:bookmarkStart w:id="4" w:name="_Hlk496447567"/>
      <w:bookmarkEnd w:id="3"/>
      <w:r>
        <w:rPr>
          <w:rFonts w:ascii="AdvSlim-BKI" w:hAnsi="AdvSlim-BKI" w:cs="AdvSlim-BKI"/>
          <w:sz w:val="17"/>
          <w:szCs w:val="17"/>
        </w:rPr>
        <w:t>k</w:t>
      </w:r>
      <w:r>
        <w:rPr>
          <w:rFonts w:ascii="AdvSlimb-BK" w:hAnsi="AdvSlimb-BK" w:cs="AdvSlimb-BK"/>
          <w:sz w:val="11"/>
          <w:szCs w:val="11"/>
        </w:rPr>
        <w:t>1/2</w:t>
      </w:r>
      <w:r>
        <w:rPr>
          <w:rFonts w:ascii="AdvSlimb-BK" w:hAnsi="AdvSlimb-BK" w:cs="AdvSlimb-BK"/>
          <w:sz w:val="17"/>
          <w:szCs w:val="17"/>
        </w:rPr>
        <w:t xml:space="preserve"> = concentration of thiosulfate at half maximum response</w:t>
      </w:r>
    </w:p>
    <w:p w:rsidR="00637F67" w:rsidRDefault="002571AE" w:rsidP="002571AE">
      <w:pPr>
        <w:rPr>
          <w:rFonts w:ascii="AdvSlimb-BK" w:hAnsi="AdvSlimb-BK" w:cs="AdvSlimb-BK"/>
          <w:sz w:val="17"/>
          <w:szCs w:val="17"/>
        </w:rPr>
      </w:pPr>
      <w:bookmarkStart w:id="5" w:name="_Hlk496447571"/>
      <w:bookmarkStart w:id="6" w:name="_GoBack"/>
      <w:bookmarkEnd w:id="4"/>
      <w:r>
        <w:rPr>
          <w:rFonts w:ascii="AdvSlimb-BK" w:hAnsi="AdvSlimb-BK" w:cs="AdvSlimb-BK"/>
          <w:sz w:val="17"/>
          <w:szCs w:val="17"/>
        </w:rPr>
        <w:t>n = Hill coefficient</w:t>
      </w:r>
    </w:p>
    <w:bookmarkEnd w:id="0"/>
    <w:bookmarkEnd w:id="5"/>
    <w:bookmarkEnd w:id="6"/>
    <w:p w:rsidR="00C00CFB" w:rsidRDefault="00C00CFB" w:rsidP="00637F67">
      <w:pPr>
        <w:ind w:firstLineChars="300" w:firstLine="510"/>
        <w:rPr>
          <w:rFonts w:ascii="AdvSlimb-BK" w:hAnsi="AdvSlimb-BK" w:cs="AdvSlimb-BK"/>
          <w:sz w:val="17"/>
          <w:szCs w:val="17"/>
        </w:rPr>
      </w:pPr>
    </w:p>
    <w:p w:rsidR="00C00CFB" w:rsidRDefault="00C00CFB" w:rsidP="00637F67">
      <w:pPr>
        <w:ind w:firstLineChars="300" w:firstLine="510"/>
        <w:rPr>
          <w:rFonts w:ascii="AdvSlimb-BK" w:hAnsi="AdvSlimb-BK" w:cs="AdvSlimb-BK"/>
          <w:sz w:val="17"/>
          <w:szCs w:val="17"/>
        </w:rPr>
      </w:pPr>
    </w:p>
    <w:p w:rsidR="00C00CFB" w:rsidRDefault="00C00CFB" w:rsidP="00637F67">
      <w:pPr>
        <w:ind w:firstLineChars="300" w:firstLine="510"/>
        <w:rPr>
          <w:rFonts w:ascii="AdvSlimb-BK" w:hAnsi="AdvSlimb-BK" w:cs="AdvSlimb-BK"/>
          <w:sz w:val="17"/>
          <w:szCs w:val="17"/>
        </w:rPr>
      </w:pPr>
    </w:p>
    <w:p w:rsidR="00C00CFB" w:rsidRDefault="00C00CFB" w:rsidP="00637F67">
      <w:pPr>
        <w:ind w:firstLineChars="300" w:firstLine="510"/>
        <w:rPr>
          <w:rFonts w:ascii="AdvSlimb-BK" w:hAnsi="AdvSlimb-BK" w:cs="AdvSlimb-BK"/>
          <w:sz w:val="17"/>
          <w:szCs w:val="17"/>
        </w:rPr>
      </w:pPr>
    </w:p>
    <w:p w:rsidR="00C00CFB" w:rsidRPr="000E2119" w:rsidRDefault="00C00CFB" w:rsidP="00637F67">
      <w:pPr>
        <w:ind w:firstLineChars="300" w:firstLine="510"/>
        <w:rPr>
          <w:rFonts w:ascii="AdvSlimb-BK" w:hAnsi="AdvSlimb-BK" w:cs="AdvSlimb-BK"/>
          <w:sz w:val="17"/>
          <w:szCs w:val="17"/>
        </w:rPr>
      </w:pPr>
    </w:p>
    <w:sectPr w:rsidR="00C00CFB" w:rsidRPr="000E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F8B" w:rsidRDefault="00BC6F8B" w:rsidP="000E2119">
      <w:r>
        <w:separator/>
      </w:r>
    </w:p>
  </w:endnote>
  <w:endnote w:type="continuationSeparator" w:id="0">
    <w:p w:rsidR="00BC6F8B" w:rsidRDefault="00BC6F8B" w:rsidP="000E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vSlimb-B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ec36968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Slim-BK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F8B" w:rsidRDefault="00BC6F8B" w:rsidP="000E2119">
      <w:r>
        <w:separator/>
      </w:r>
    </w:p>
  </w:footnote>
  <w:footnote w:type="continuationSeparator" w:id="0">
    <w:p w:rsidR="00BC6F8B" w:rsidRDefault="00BC6F8B" w:rsidP="000E2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D2"/>
    <w:rsid w:val="000C7688"/>
    <w:rsid w:val="000E2119"/>
    <w:rsid w:val="002571AE"/>
    <w:rsid w:val="00637F67"/>
    <w:rsid w:val="008766D2"/>
    <w:rsid w:val="009D3983"/>
    <w:rsid w:val="00B91CAD"/>
    <w:rsid w:val="00BC6F8B"/>
    <w:rsid w:val="00C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C0D33"/>
  <w15:chartTrackingRefBased/>
  <w15:docId w15:val="{83CF0523-EA30-4B8D-91F7-5FBE295E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="Times New Roman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张辰</dc:creator>
  <cp:keywords/>
  <dc:description/>
  <cp:lastModifiedBy>张辰</cp:lastModifiedBy>
  <cp:revision>5</cp:revision>
  <dcterms:created xsi:type="dcterms:W3CDTF">2017-10-22T06:48:00Z</dcterms:created>
  <dcterms:modified xsi:type="dcterms:W3CDTF">2017-10-22T07:01:00Z</dcterms:modified>
</cp:coreProperties>
</file>