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36"/>
          <w:szCs w:val="36"/>
        </w:rPr>
        <w:t xml:space="preserve">Business Problem Statement</w:t>
      </w:r>
    </w:p>
    <w:p>
      <w:pPr>
        <w:spacing w:after="200"/>
      </w:pPr>
      <w:r>
        <w:rPr>
          <w:i/>
          <w:iCs/>
          <w:color w:val="808080"/>
          <w:sz w:val="20"/>
          <w:szCs w:val="20"/>
        </w:rPr>
        <w:t xml:space="preserve">Simulasi Industri Junior Data Analyst | Topik 5 – Problem Solving &amp; Business Question | Minggu 8, Hari Senin – Memahami Business Problem</w:t>
      </w:r>
    </w:p>
    <w:p>
      <w:pPr>
        <w:pBdr>
          <w:bottom w:val="single" w:color="1F3864" w:sz="6" w:space="4"/>
        </w:pBdr>
        <w:spacing w:after="200"/>
      </w:pPr>
    </w:p>
    <w:p>
      <w:pPr>
        <w:pStyle w:val="Heading2"/>
        <w:spacing w:after="100" w:before="100"/>
      </w:pPr>
      <w:r>
        <w:rPr>
          <w:b/>
          <w:bCs/>
          <w:color w:val="1F3864"/>
          <w:sz w:val="24"/>
          <w:szCs w:val="24"/>
        </w:rPr>
        <w:t xml:space="preserve">1. Problem Statement</w:t>
      </w:r>
    </w:p>
    <w:p>
      <w:pPr>
        <w:spacing w:after="150"/>
        <w:jc w:val="both"/>
      </w:pPr>
      <w:r>
        <w:rPr>
          <w:sz w:val="21"/>
          <w:szCs w:val="21"/>
        </w:rPr>
        <w:t xml:space="preserve">Berdasarkan eksplorasi data penjualan perusahaan (dataset SalesInsight_Database, periode transaksi 2014–2017), ditemukan bahwa meskipun total penjualan perusahaan pada tiga bulan terakhir (Oktober–Desember 2017) tumbuh 42,7% dibandingkan tiga bulan sebelumnya (Juli–September 2017), sebanyak 87 dari sekitar 190 kota yang tercatat memiliki transaksi justru mengalami penurunan penjualan pada periode yang sama — lima kota dengan penurunan terbesar (Dover, Madison, Phoenix, Mesa, dan Chicago) bahkan turun lebih dari 45%, dengan Dover turun hingga 98% (dari sekitar $8.630 menjadi hanya $144).</w:t>
      </w:r>
    </w:p>
    <w:p>
      <w:pPr>
        <w:spacing w:after="150"/>
        <w:jc w:val="both"/>
      </w:pPr>
      <w:r>
        <w:rPr>
          <w:sz w:val="21"/>
          <w:szCs w:val="21"/>
        </w:rPr>
        <w:t xml:space="preserve">Dengan kata lain, pertumbuhan total perusahaan menyembunyikan masalah nyata di level kota/wilayah tertentu. Jika tidak segera diselidiki, tren penurunan di kota-kota ini berisiko meluas dan menggerus pertumbuhan perusahaan secara keseluruhan pada kuartal-kuartal berikutnya.</w:t>
      </w:r>
    </w:p>
    <w:p>
      <w:pPr>
        <w:pStyle w:val="Heading2"/>
        <w:spacing w:after="100" w:before="200"/>
      </w:pPr>
      <w:r>
        <w:rPr>
          <w:b/>
          <w:bCs/>
          <w:color w:val="1F3864"/>
          <w:sz w:val="24"/>
          <w:szCs w:val="24"/>
        </w:rPr>
        <w:t xml:space="preserve">2. Business Context</w:t>
      </w:r>
    </w:p>
    <w:p>
      <w:pPr>
        <w:spacing w:after="150"/>
        <w:jc w:val="both"/>
      </w:pPr>
      <w:r>
        <w:rPr>
          <w:sz w:val="21"/>
          <w:szCs w:val="21"/>
        </w:rPr>
        <w:t xml:space="preserve">Perusahaan bergerak di bidang retail dengan tiga kategori produk utama: Furniture, Office Supplies, dan Technology, melayani pelanggan individu maupun bisnis di berbagai kota di Amerika Serikat. Secara historis, performa penjualan perusahaan menunjukkan pola musiman (seasonal), dengan kuartal keempat (Okt–Des) umumnya menjadi periode penjualan tertinggi setiap tahunnya.</w:t>
      </w:r>
    </w:p>
    <w:p>
      <w:pPr>
        <w:spacing w:after="150"/>
        <w:jc w:val="both"/>
      </w:pPr>
      <w:r>
        <w:rPr>
          <w:sz w:val="21"/>
          <w:szCs w:val="21"/>
        </w:rPr>
        <w:t xml:space="preserve">Pada periode Okt–Des 2017, ketiga kategori produk mencatat pertumbuhan positif (Furniture +12,5%, Office Supplies +13,6%, Technology +29,3% dibanding Q4 2016), dan jumlah pelanggan aktif maupun jumlah kota yang bertransaksi juga meningkat (dari 343 menjadi 436 pelanggan aktif). Namun, pertumbuhan ini tidak merata: sejumlah kota yang sebelumnya berkontribusi signifikan justru kehilangan hampir seluruh transaksinya pada periode yang sama.</w:t>
      </w:r>
    </w:p>
    <w:p>
      <w:pPr>
        <w:pStyle w:val="Heading2"/>
        <w:spacing w:after="100" w:before="200"/>
      </w:pPr>
      <w:r>
        <w:rPr>
          <w:b/>
          <w:bCs/>
          <w:color w:val="1F3864"/>
          <w:sz w:val="24"/>
          <w:szCs w:val="24"/>
        </w:rPr>
        <w:t xml:space="preserve">3. Business Impact</w:t>
      </w:r>
    </w:p>
    <w:p>
      <w:pPr>
        <w:pStyle w:val="ListParagraph"/>
        <w:numPr>
          <w:ilvl w:val="0"/>
          <w:numId w:val="1"/>
        </w:numPr>
        <w:spacing w:after="100"/>
      </w:pPr>
      <w:r>
        <w:rPr>
          <w:sz w:val="21"/>
          <w:szCs w:val="21"/>
        </w:rPr>
        <w:t xml:space="preserve">Kehilangan pendapatan tersembunyi: total kerugian gabungan dari 87 kota yang mengalami penurunan diperkirakan mencapai puluhan ribu dolar per kuartal, namun tidak terdeteksi karena tertutup oleh pertumbuhan kota-kota lain.</w:t>
      </w:r>
    </w:p>
    <w:p>
      <w:pPr>
        <w:pStyle w:val="ListParagraph"/>
        <w:numPr>
          <w:ilvl w:val="0"/>
          <w:numId w:val="1"/>
        </w:numPr>
        <w:spacing w:after="100"/>
      </w:pPr>
      <w:r>
        <w:rPr>
          <w:sz w:val="21"/>
          <w:szCs w:val="21"/>
        </w:rPr>
        <w:t xml:space="preserve">Risiko churn pelanggan: penurunan tajam di kota seperti Dover (dari 5 order menjadi hanya 1 order) mengindikasikan kemungkinan hilangnya pelanggan aktif, bukan sekadar penurunan nilai transaksi.</w:t>
      </w:r>
    </w:p>
    <w:p>
      <w:pPr>
        <w:pStyle w:val="ListParagraph"/>
        <w:numPr>
          <w:ilvl w:val="0"/>
          <w:numId w:val="1"/>
        </w:numPr>
        <w:spacing w:after="100"/>
      </w:pPr>
      <w:r>
        <w:rPr>
          <w:sz w:val="21"/>
          <w:szCs w:val="21"/>
        </w:rPr>
        <w:t xml:space="preserve">Ketimpangan pertumbuhan wilayah: jika tren ini berlanjut, perusahaan berisiko semakin bergantung pada segelintir kota besar, sementara pasar di kota-kota lain menyusut dan sulit dipulihkan.</w:t>
      </w:r>
    </w:p>
    <w:p>
      <w:pPr>
        <w:pStyle w:val="ListParagraph"/>
        <w:numPr>
          <w:ilvl w:val="0"/>
          <w:numId w:val="1"/>
        </w:numPr>
        <w:spacing w:after="100"/>
      </w:pPr>
      <w:r>
        <w:rPr>
          <w:sz w:val="21"/>
          <w:szCs w:val="21"/>
        </w:rPr>
        <w:t xml:space="preserve">Potensi salah arah strategi: tanpa analisis level kota, manajemen bisa saja menyimpulkan bahwa “performa perusahaan baik-baik saja” hanya dari angka total, padahal ada masalah struktural yang perlu ditangani lebih awal.</w:t>
      </w:r>
    </w:p>
    <w:p>
      <w:pPr>
        <w:pStyle w:val="Heading2"/>
        <w:spacing w:after="100" w:before="250"/>
      </w:pPr>
      <w:r>
        <w:rPr>
          <w:b/>
          <w:bCs/>
          <w:color w:val="1F3864"/>
          <w:sz w:val="24"/>
          <w:szCs w:val="24"/>
        </w:rPr>
        <w:t xml:space="preserve">4. Stakeholder yang Berkepentingan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Stakeholder</w:t>
            </w:r>
          </w:p>
        </w:tc>
        <w:tc>
          <w:tcPr>
            <w:tcW w:type="dxa" w:w="7300"/>
            <w:shd w:fill="1F3864" w:val="clear"/>
            <w:tcMar>
              <w:top w:type="dxa" w:w="100"/>
              <w:left w:type="dxa" w:w="120"/>
              <w:bottom w:type="dxa" w:w="100"/>
              <w:right w:type="dxa" w:w="120"/>
            </w:tcMar>
            <w:vAlign w:val="center"/>
          </w:tcPr>
          <w:p>
            <w:r>
              <w:rPr>
                <w:b/>
                <w:bCs/>
                <w:color w:val="FFFFFF"/>
                <w:sz w:val="20"/>
                <w:szCs w:val="20"/>
              </w:rPr>
              <w:t xml:space="preserve">Kepentingan terhadap Masalah Ini</w:t>
            </w:r>
          </w:p>
        </w:tc>
      </w:tr>
      <w:tr>
        <w:tc>
          <w:tcPr>
            <w:tcW w:type="dxa" w:w="3200"/>
            <w:tcMar>
              <w:top w:type="dxa" w:w="100"/>
              <w:left w:type="dxa" w:w="120"/>
              <w:bottom w:type="dxa" w:w="100"/>
              <w:right w:type="dxa" w:w="120"/>
            </w:tcMar>
            <w:vAlign w:val="top"/>
          </w:tcPr>
          <w:p>
            <w:r>
              <w:rPr>
                <w:sz w:val="20"/>
                <w:szCs w:val="20"/>
              </w:rPr>
              <w:t xml:space="preserve">Sales Manager</w:t>
            </w:r>
          </w:p>
        </w:tc>
        <w:tc>
          <w:tcPr>
            <w:tcW w:type="dxa" w:w="7300"/>
            <w:tcMar>
              <w:top w:type="dxa" w:w="100"/>
              <w:left w:type="dxa" w:w="120"/>
              <w:bottom w:type="dxa" w:w="100"/>
              <w:right w:type="dxa" w:w="120"/>
            </w:tcMar>
            <w:vAlign w:val="top"/>
          </w:tcPr>
          <w:p>
            <w:r>
              <w:rPr>
                <w:sz w:val="20"/>
                <w:szCs w:val="20"/>
              </w:rPr>
              <w:t xml:space="preserve">Memantau performa penjualan per wilayah dan menentukan target ulang per kota</w:t>
            </w:r>
          </w:p>
        </w:tc>
      </w:tr>
      <w:tr>
        <w:tc>
          <w:tcPr>
            <w:tcW w:type="dxa" w:w="3200"/>
            <w:tcMar>
              <w:top w:type="dxa" w:w="100"/>
              <w:left w:type="dxa" w:w="120"/>
              <w:bottom w:type="dxa" w:w="100"/>
              <w:right w:type="dxa" w:w="120"/>
            </w:tcMar>
            <w:vAlign w:val="top"/>
          </w:tcPr>
          <w:p>
            <w:r>
              <w:rPr>
                <w:sz w:val="20"/>
                <w:szCs w:val="20"/>
              </w:rPr>
              <w:t xml:space="preserve">Marketing Manager</w:t>
            </w:r>
          </w:p>
        </w:tc>
        <w:tc>
          <w:tcPr>
            <w:tcW w:type="dxa" w:w="7300"/>
            <w:tcMar>
              <w:top w:type="dxa" w:w="100"/>
              <w:left w:type="dxa" w:w="120"/>
              <w:bottom w:type="dxa" w:w="100"/>
              <w:right w:type="dxa" w:w="120"/>
            </w:tcMar>
            <w:vAlign w:val="top"/>
          </w:tcPr>
          <w:p>
            <w:r>
              <w:rPr>
                <w:sz w:val="20"/>
                <w:szCs w:val="20"/>
              </w:rPr>
              <w:t xml:space="preserve">Merancang kampanye/promosi yang ditargetkan ke kota-kota yang menurun</w:t>
            </w:r>
          </w:p>
        </w:tc>
      </w:tr>
      <w:tr>
        <w:tc>
          <w:tcPr>
            <w:tcW w:type="dxa" w:w="3200"/>
            <w:tcMar>
              <w:top w:type="dxa" w:w="100"/>
              <w:left w:type="dxa" w:w="120"/>
              <w:bottom w:type="dxa" w:w="100"/>
              <w:right w:type="dxa" w:w="120"/>
            </w:tcMar>
            <w:vAlign w:val="top"/>
          </w:tcPr>
          <w:p>
            <w:r>
              <w:rPr>
                <w:sz w:val="20"/>
                <w:szCs w:val="20"/>
              </w:rPr>
              <w:t xml:space="preserve">Regional / City Account Owner</w:t>
            </w:r>
          </w:p>
        </w:tc>
        <w:tc>
          <w:tcPr>
            <w:tcW w:type="dxa" w:w="7300"/>
            <w:tcMar>
              <w:top w:type="dxa" w:w="100"/>
              <w:left w:type="dxa" w:w="120"/>
              <w:bottom w:type="dxa" w:w="100"/>
              <w:right w:type="dxa" w:w="120"/>
            </w:tcMar>
            <w:vAlign w:val="top"/>
          </w:tcPr>
          <w:p>
            <w:r>
              <w:rPr>
                <w:sz w:val="20"/>
                <w:szCs w:val="20"/>
              </w:rPr>
              <w:t xml:space="preserve">Bertanggung jawab langsung atas performa penjualan di kota masing-masing</w:t>
            </w:r>
          </w:p>
        </w:tc>
      </w:tr>
      <w:tr>
        <w:tc>
          <w:tcPr>
            <w:tcW w:type="dxa" w:w="3200"/>
            <w:tcMar>
              <w:top w:type="dxa" w:w="100"/>
              <w:left w:type="dxa" w:w="120"/>
              <w:bottom w:type="dxa" w:w="100"/>
              <w:right w:type="dxa" w:w="120"/>
            </w:tcMar>
            <w:vAlign w:val="top"/>
          </w:tcPr>
          <w:p>
            <w:r>
              <w:rPr>
                <w:sz w:val="20"/>
                <w:szCs w:val="20"/>
              </w:rPr>
              <w:t xml:space="preserve">Customer Success / CRM Team</w:t>
            </w:r>
          </w:p>
        </w:tc>
        <w:tc>
          <w:tcPr>
            <w:tcW w:type="dxa" w:w="7300"/>
            <w:tcMar>
              <w:top w:type="dxa" w:w="100"/>
              <w:left w:type="dxa" w:w="120"/>
              <w:bottom w:type="dxa" w:w="100"/>
              <w:right w:type="dxa" w:w="120"/>
            </w:tcMar>
            <w:vAlign w:val="top"/>
          </w:tcPr>
          <w:p>
            <w:r>
              <w:rPr>
                <w:sz w:val="20"/>
                <w:szCs w:val="20"/>
              </w:rPr>
              <w:t xml:space="preserve">Menindaklanjuti indikasi churn pelanggan di kota-kota yang menurun</w:t>
            </w:r>
          </w:p>
        </w:tc>
      </w:tr>
      <w:tr>
        <w:tc>
          <w:tcPr>
            <w:tcW w:type="dxa" w:w="3200"/>
            <w:tcMar>
              <w:top w:type="dxa" w:w="100"/>
              <w:left w:type="dxa" w:w="120"/>
              <w:bottom w:type="dxa" w:w="100"/>
              <w:right w:type="dxa" w:w="120"/>
            </w:tcMar>
            <w:vAlign w:val="top"/>
          </w:tcPr>
          <w:p>
            <w:r>
              <w:rPr>
                <w:sz w:val="20"/>
                <w:szCs w:val="20"/>
              </w:rPr>
              <w:t xml:space="preserve">Finance Team</w:t>
            </w:r>
          </w:p>
        </w:tc>
        <w:tc>
          <w:tcPr>
            <w:tcW w:type="dxa" w:w="7300"/>
            <w:tcMar>
              <w:top w:type="dxa" w:w="100"/>
              <w:left w:type="dxa" w:w="120"/>
              <w:bottom w:type="dxa" w:w="100"/>
              <w:right w:type="dxa" w:w="120"/>
            </w:tcMar>
            <w:vAlign w:val="top"/>
          </w:tcPr>
          <w:p>
            <w:r>
              <w:rPr>
                <w:sz w:val="20"/>
                <w:szCs w:val="20"/>
              </w:rPr>
              <w:t xml:space="preserve">Menilai dampak penurunan ini terhadap proyeksi pendapatan kuartal berikutnya</w:t>
            </w:r>
          </w:p>
        </w:tc>
      </w:tr>
      <w:tr>
        <w:tc>
          <w:tcPr>
            <w:tcW w:type="dxa" w:w="3200"/>
            <w:tcMar>
              <w:top w:type="dxa" w:w="100"/>
              <w:left w:type="dxa" w:w="120"/>
              <w:bottom w:type="dxa" w:w="100"/>
              <w:right w:type="dxa" w:w="120"/>
            </w:tcMar>
            <w:vAlign w:val="top"/>
          </w:tcPr>
          <w:p>
            <w:r>
              <w:rPr>
                <w:sz w:val="20"/>
                <w:szCs w:val="20"/>
              </w:rPr>
              <w:t xml:space="preserve">Business Manager / Direksi</w:t>
            </w:r>
          </w:p>
        </w:tc>
        <w:tc>
          <w:tcPr>
            <w:tcW w:type="dxa" w:w="7300"/>
            <w:tcMar>
              <w:top w:type="dxa" w:w="100"/>
              <w:left w:type="dxa" w:w="120"/>
              <w:bottom w:type="dxa" w:w="100"/>
              <w:right w:type="dxa" w:w="120"/>
            </w:tcMar>
            <w:vAlign w:val="top"/>
          </w:tcPr>
          <w:p>
            <w:r>
              <w:rPr>
                <w:sz w:val="20"/>
                <w:szCs w:val="20"/>
              </w:rPr>
              <w:t xml:space="preserve">Mengambil keputusan strategis terkait alokasi sumber daya per wilayah</w:t>
            </w:r>
          </w:p>
        </w:tc>
      </w:tr>
    </w:tbl>
    <w:p>
      <w:pPr>
        <w:pStyle w:val="Heading2"/>
        <w:spacing w:after="100" w:before="250"/>
      </w:pPr>
      <w:r>
        <w:rPr>
          <w:b/>
          <w:bCs/>
          <w:color w:val="1F3864"/>
          <w:sz w:val="24"/>
          <w:szCs w:val="24"/>
        </w:rPr>
        <w:t xml:space="preserve">5. Informasi / Data yang Dibutuhkan</w:t>
      </w:r>
    </w:p>
    <w:p>
      <w:pPr>
        <w:pStyle w:val="ListParagraph"/>
        <w:numPr>
          <w:ilvl w:val="0"/>
          <w:numId w:val="1"/>
        </w:numPr>
        <w:spacing w:after="100"/>
      </w:pPr>
      <w:r>
        <w:rPr>
          <w:sz w:val="21"/>
          <w:szCs w:val="21"/>
        </w:rPr>
        <w:t xml:space="preserve">Data transaksi penjualan per kota, per bulan/kuartal, minimal 6–12 bulan terakhir (sudah tersedia di sheet Sales).</w:t>
      </w:r>
    </w:p>
    <w:p>
      <w:pPr>
        <w:pStyle w:val="ListParagraph"/>
        <w:numPr>
          <w:ilvl w:val="0"/>
          <w:numId w:val="1"/>
        </w:numPr>
        <w:spacing w:after="100"/>
      </w:pPr>
      <w:r>
        <w:rPr>
          <w:sz w:val="21"/>
          <w:szCs w:val="21"/>
        </w:rPr>
        <w:t xml:space="preserve">Data jumlah pelanggan aktif dan riwayat pembelian per kota, untuk mengonfirmasi indikasi churn (sheet Customers).</w:t>
      </w:r>
    </w:p>
    <w:p>
      <w:pPr>
        <w:pStyle w:val="ListParagraph"/>
        <w:numPr>
          <w:ilvl w:val="0"/>
          <w:numId w:val="1"/>
        </w:numPr>
        <w:spacing w:after="100"/>
      </w:pPr>
      <w:r>
        <w:rPr>
          <w:sz w:val="21"/>
          <w:szCs w:val="21"/>
        </w:rPr>
        <w:t xml:space="preserve">Data kategori dan produk yang terjual di kota-kota yang menurun, untuk melihat apakah penurunan spesifik pada produk tertentu (sheet Products).</w:t>
      </w:r>
    </w:p>
    <w:p>
      <w:pPr>
        <w:pStyle w:val="ListParagraph"/>
        <w:numPr>
          <w:ilvl w:val="0"/>
          <w:numId w:val="1"/>
        </w:numPr>
        <w:spacing w:after="100"/>
      </w:pPr>
      <w:r>
        <w:rPr>
          <w:sz w:val="21"/>
          <w:szCs w:val="21"/>
        </w:rPr>
        <w:t xml:space="preserve">Data aktivitas marketing/promosi per wilayah pada periode yang sama (belum tersedia di dataset saat ini — perlu diminta ke tim Marketing).</w:t>
      </w:r>
    </w:p>
    <w:p>
      <w:pPr>
        <w:pStyle w:val="ListParagraph"/>
        <w:numPr>
          <w:ilvl w:val="0"/>
          <w:numId w:val="1"/>
        </w:numPr>
        <w:spacing w:after="100"/>
      </w:pPr>
      <w:r>
        <w:rPr>
          <w:sz w:val="21"/>
          <w:szCs w:val="21"/>
        </w:rPr>
        <w:t xml:space="preserve">Data kompetitor atau kondisi pasar lokal di kota-kota yang menurun tajam, jika tersedia, untuk menilai apakah penyebabnya eksternal (belum tersedia di dataset).</w:t>
      </w:r>
    </w:p>
    <w:p>
      <w:pPr>
        <w:pBdr>
          <w:top w:val="single" w:color="BFBFBF" w:sz="4" w:space="4"/>
        </w:pBdr>
        <w:spacing w:after="60" w:before="200"/>
      </w:pPr>
    </w:p>
    <w:p>
      <w:r>
        <w:rPr>
          <w:i/>
          <w:iCs/>
          <w:color w:val="808080"/>
          <w:sz w:val="18"/>
          <w:szCs w:val="18"/>
        </w:rPr>
        <w:t xml:space="preserve">Sumber data: SalesInsight_Database.xlsx (sheet Sales, Products, Customers). Angka dihitung dengan membandingkan periode Juli–September 2017 terhadap Oktober–Desember 2017. Dokumen ini disusun sebagai output tugas Minggu 8 Hari Senin – Topik 5: Problem Solving &amp; Business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2026-08-18T07:00:06.668Z</dcterms:created>
  <dcterms:modified xsi:type="dcterms:W3CDTF">2026-08-18T07:00:06.668Z</dcterms:modified>
</cp:coreProperties>
</file>

<file path=docProps/custom.xml><?xml version="1.0" encoding="utf-8"?>
<Properties xmlns="http://schemas.openxmlformats.org/officeDocument/2006/custom-properties" xmlns:vt="http://schemas.openxmlformats.org/officeDocument/2006/docPropsVTypes"/>
</file>