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65BF4" w14:textId="77777777" w:rsidR="002005B7" w:rsidRPr="002005B7" w:rsidRDefault="002005B7" w:rsidP="002005B7">
      <w:pPr>
        <w:pStyle w:val="NormalWeb"/>
        <w:spacing w:before="0" w:beforeAutospacing="0" w:after="0" w:afterAutospacing="0"/>
        <w:rPr>
          <w:lang w:val="en-GB"/>
        </w:rPr>
      </w:pPr>
      <w:r w:rsidRPr="002005B7">
        <w:rPr>
          <w:rFonts w:ascii="Arial" w:hAnsi="Arial" w:cs="Arial"/>
          <w:b/>
          <w:bCs/>
          <w:color w:val="000000"/>
          <w:sz w:val="29"/>
          <w:szCs w:val="29"/>
          <w:lang w:val="en-GB"/>
        </w:rPr>
        <w:t>hydrogen storage and distribution :</w:t>
      </w:r>
    </w:p>
    <w:p w14:paraId="5B827B0D"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FF0000"/>
          <w:sz w:val="23"/>
          <w:szCs w:val="23"/>
          <w:lang w:val="en-GB"/>
        </w:rPr>
        <w:t>What might prevent us from achieving our outcomes and objectives?</w:t>
      </w:r>
    </w:p>
    <w:p w14:paraId="37B792A4"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Challenges in hydrogen storage and distribution include technological development for efficiency, substantial infrastructure investment, safety concerns due to hydrogen's flammability, material compatibility issues, scaling up to meet demand, low energy density requiring larger storage systems, lack of standardization, competition with alternative technologies, public perception and awareness, and the need for supportive policies to incentivize investment. Addressing these challenges is crucial for the successful deployment and widespread adoption of hydrogen storage and distribution technologies.</w:t>
      </w:r>
    </w:p>
    <w:p w14:paraId="18816D28"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FF0000"/>
          <w:sz w:val="23"/>
          <w:szCs w:val="23"/>
          <w:lang w:val="en-GB"/>
        </w:rPr>
        <w:t>how will it change our course and how likely it is  to happen !</w:t>
      </w:r>
    </w:p>
    <w:p w14:paraId="38454743"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Hydrogen storage and distribution could revolutionize energy systems by providing grid flexibility, clean transportation, and industrial decarbonization. The success depends on overcoming challenges like technological advancements and infrastructure development. While global interest is growing, widespread adoption will require continued research, investment, and collaborative efforts across sectors. The pace of change may vary, but the potential impact on energy resilience, security, and decarbonization is significant.</w:t>
      </w:r>
    </w:p>
    <w:p w14:paraId="54CBA3DD"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FF0000"/>
          <w:sz w:val="23"/>
          <w:szCs w:val="23"/>
          <w:lang w:val="en-GB"/>
        </w:rPr>
        <w:t>What is your plan to prevent the risk and what will you do if the risk occurs?</w:t>
      </w:r>
    </w:p>
    <w:p w14:paraId="235A3CEA"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To mitigate risks in hydrogen storage and distribution:</w:t>
      </w:r>
    </w:p>
    <w:p w14:paraId="57DF9880"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1. **Risk Assessment:**</w:t>
      </w:r>
    </w:p>
    <w:p w14:paraId="37EA48E2"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   - Identify potential risks and conduct thorough assessments.</w:t>
      </w:r>
    </w:p>
    <w:p w14:paraId="31FACC89"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2. **Safety Standards:**</w:t>
      </w:r>
    </w:p>
    <w:p w14:paraId="7D8573B7"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   - Adhere to strict safety protocols and industry standards.</w:t>
      </w:r>
    </w:p>
    <w:p w14:paraId="03B52C6B"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3. **Technology Development:**</w:t>
      </w:r>
    </w:p>
    <w:p w14:paraId="5875BEF0"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   - Invest in R&amp;D for improved safety and efficiency.</w:t>
      </w:r>
    </w:p>
    <w:p w14:paraId="382AF4A0"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4. **Infrastructure Planning:**</w:t>
      </w:r>
    </w:p>
    <w:p w14:paraId="62F76621"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   - Design resilient infrastructure with redundancy and fail-safe mechanisms.</w:t>
      </w:r>
    </w:p>
    <w:p w14:paraId="4815EF2F"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5. **Regulatory Compliance:**</w:t>
      </w:r>
    </w:p>
    <w:p w14:paraId="0C85A6D5"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   - Stay informed and comply with regulations.</w:t>
      </w:r>
    </w:p>
    <w:p w14:paraId="7E5DFB2A"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6. **Public Awareness:**</w:t>
      </w:r>
    </w:p>
    <w:p w14:paraId="76796687"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   - Conduct awareness campaigns and address public concerns.</w:t>
      </w:r>
    </w:p>
    <w:p w14:paraId="2A5F3504"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7. **Emergency Response:**</w:t>
      </w:r>
    </w:p>
    <w:p w14:paraId="2181AA8E"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   - Develop and practice comprehensive emergency response plans.</w:t>
      </w:r>
    </w:p>
    <w:p w14:paraId="0678C3BC"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lastRenderedPageBreak/>
        <w:t>8. **Collaboration:**</w:t>
      </w:r>
    </w:p>
    <w:p w14:paraId="61F9B4F9"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   - Collaborate with stakeholders and share information.</w:t>
      </w:r>
    </w:p>
    <w:p w14:paraId="43A09EB5"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9. **Continuous Monitoring:**</w:t>
      </w:r>
    </w:p>
    <w:p w14:paraId="03F54EF6"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   - Implement real-time monitoring for facilities.</w:t>
      </w:r>
    </w:p>
    <w:p w14:paraId="74E2F899"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10. **Contingency Planning:**</w:t>
      </w:r>
    </w:p>
    <w:p w14:paraId="4267FF7E" w14:textId="77777777" w:rsidR="002005B7" w:rsidRPr="002005B7" w:rsidRDefault="002005B7" w:rsidP="002005B7">
      <w:pPr>
        <w:pStyle w:val="NormalWeb"/>
        <w:spacing w:before="240" w:beforeAutospacing="0" w:after="240" w:afterAutospacing="0"/>
        <w:rPr>
          <w:lang w:val="en-GB"/>
        </w:rPr>
      </w:pPr>
      <w:r w:rsidRPr="002005B7">
        <w:rPr>
          <w:rStyle w:val="apple-tab-span"/>
          <w:rFonts w:ascii="Arial" w:hAnsi="Arial" w:cs="Arial"/>
          <w:color w:val="000000"/>
          <w:sz w:val="23"/>
          <w:szCs w:val="23"/>
          <w:lang w:val="en-GB"/>
        </w:rPr>
        <w:tab/>
      </w:r>
      <w:r w:rsidRPr="002005B7">
        <w:rPr>
          <w:rFonts w:ascii="Arial" w:hAnsi="Arial" w:cs="Arial"/>
          <w:color w:val="000000"/>
          <w:sz w:val="23"/>
          <w:szCs w:val="23"/>
          <w:lang w:val="en-GB"/>
        </w:rPr>
        <w:t>- Develop plans for specific steps in case of an incident.</w:t>
      </w:r>
    </w:p>
    <w:p w14:paraId="2AC14CA2" w14:textId="77777777" w:rsidR="002005B7" w:rsidRPr="002005B7" w:rsidRDefault="002005B7" w:rsidP="002005B7">
      <w:pPr>
        <w:pStyle w:val="NormalWeb"/>
        <w:spacing w:before="240" w:beforeAutospacing="0" w:after="240" w:afterAutospacing="0"/>
        <w:rPr>
          <w:lang w:val="en-GB"/>
        </w:rPr>
      </w:pPr>
      <w:r w:rsidRPr="002005B7">
        <w:rPr>
          <w:rFonts w:ascii="Arial" w:hAnsi="Arial" w:cs="Arial"/>
          <w:color w:val="000000"/>
          <w:sz w:val="23"/>
          <w:szCs w:val="23"/>
          <w:lang w:val="en-GB"/>
        </w:rPr>
        <w:t>Regular updates, collaboration, and continuous monitoring are key components of a proactive risk mitigation strategy.</w:t>
      </w:r>
    </w:p>
    <w:p w14:paraId="51F4BBDA" w14:textId="77777777" w:rsidR="003D22AA" w:rsidRDefault="003D22AA"/>
    <w:sectPr w:rsidR="003D22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5B7"/>
    <w:rsid w:val="002005B7"/>
    <w:rsid w:val="003D22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243D"/>
  <w15:chartTrackingRefBased/>
  <w15:docId w15:val="{6903DBA4-CC8E-422C-8671-61851F10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5B7"/>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apple-tab-span">
    <w:name w:val="apple-tab-span"/>
    <w:basedOn w:val="DefaultParagraphFont"/>
    <w:rsid w:val="00200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0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 Ayed Aziz</dc:creator>
  <cp:keywords/>
  <dc:description/>
  <cp:lastModifiedBy>Haj Ayed Aziz</cp:lastModifiedBy>
  <cp:revision>1</cp:revision>
  <dcterms:created xsi:type="dcterms:W3CDTF">2023-12-05T17:01:00Z</dcterms:created>
  <dcterms:modified xsi:type="dcterms:W3CDTF">2023-12-05T17:01:00Z</dcterms:modified>
</cp:coreProperties>
</file>