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CAHIER DES CHARGES</w:t>
      </w:r>
    </w:p>
    <w:p>
      <w:pPr>
        <w:spacing w:after="400"/>
        <w:jc w:val="center"/>
      </w:pPr>
      <w:r>
        <w:rPr>
          <w:b/>
          <w:bCs/>
          <w:color w:val="1F3864"/>
          <w:sz w:val="26"/>
          <w:szCs w:val="26"/>
        </w:rPr>
        <w:t xml:space="preserve">Plateforme Autonome de Cyberdéfense pour la Détection et la Prévention des Cyberattaques</w:t>
      </w:r>
    </w:p>
    <w:p>
      <w:pPr>
        <w:spacing w:after="800"/>
        <w:jc w:val="center"/>
      </w:pPr>
      <w:r>
        <w:rPr>
          <w:i/>
          <w:iCs/>
          <w:sz w:val="20"/>
          <w:szCs w:val="20"/>
        </w:rPr>
        <w:t xml:space="preserve">Version consolidée — ISIMA — Année universitaire 2025-2026</w:t>
      </w:r>
    </w:p>
    <w:p>
      <w:pPr>
        <w:pStyle w:val="Heading1"/>
        <w:spacing w:after="200" w:before="400"/>
      </w:pPr>
      <w:r>
        <w:t xml:space="preserve">1. Vision globale du projet</w:t>
      </w:r>
    </w:p>
    <w:p>
      <w:pPr>
        <w:spacing w:after="120"/>
      </w:pPr>
      <w:r>
        <w:t xml:space="preserve">Le projet consiste à concevoir un système autonome de détection et de prévention d'intrusion réseau (NIDS/NIPS), combinant une architecture event-driven (Kafka) pour le temps réel, un modèle de Deep Learning non-supervisé (LSTM-VAE) pour la détection d'attaques Zero-Day par déviation statistique, et un Système Multi-Agents cognitif (Agent IA, Agent CTI, Agent Formation) reposant sur un LLM local (Ollama/Llama3) pour le raisonnement, l'anticipation et la réduction du risque humain.</w:t>
      </w:r>
    </w:p>
    <w:p>
      <w:pPr>
        <w:spacing w:after="120"/>
      </w:pPr>
      <w:r>
        <w:t xml:space="preserve">Le système est structuré en trois plans d'exécution (Data Plane, Control Plane, Response Plane) et repose sur une gouvernance stricte de type Human-in-the-Loop pour toute action à fort impact.</w:t>
      </w:r>
    </w:p>
    <w:p>
      <w:pPr>
        <w:pStyle w:val="Heading1"/>
        <w:spacing w:after="200" w:before="400"/>
      </w:pPr>
      <w:r>
        <w:t xml:space="preserve">2. Acteurs</w:t>
      </w:r>
    </w:p>
    <w:p>
      <w:pPr>
        <w:pStyle w:val="ListParagraph"/>
        <w:numPr>
          <w:ilvl w:val="0"/>
          <w:numId w:val="1"/>
        </w:numPr>
        <w:spacing w:after="60"/>
      </w:pPr>
      <w:r>
        <w:t xml:space="preserve">Administrateur Sécurité : supervise l'infrastructure, définit la liste des actifs critiques, valide les actions à fort impact et les promotions de modèle.</w:t>
      </w:r>
    </w:p>
    <w:p>
      <w:pPr>
        <w:pStyle w:val="ListParagraph"/>
        <w:numPr>
          <w:ilvl w:val="0"/>
          <w:numId w:val="1"/>
        </w:numPr>
        <w:spacing w:after="60"/>
      </w:pPr>
      <w:r>
        <w:t xml:space="preserve">Utilisateur Final (global ou profil IT) : reçoit les formations préventives ciblées et les notifications de sensibilisation post-incident.</w:t>
      </w:r>
    </w:p>
    <w:p>
      <w:pPr>
        <w:pStyle w:val="ListParagraph"/>
        <w:numPr>
          <w:ilvl w:val="0"/>
          <w:numId w:val="1"/>
        </w:numPr>
        <w:spacing w:after="60"/>
      </w:pPr>
      <w:r>
        <w:t xml:space="preserve">Sources Externes CTI (OSINT) : alimentent le Système Multi-Agents en actualité cyber mondiale.</w:t>
      </w:r>
    </w:p>
    <w:p>
      <w:pPr>
        <w:pStyle w:val="ListParagraph"/>
        <w:numPr>
          <w:ilvl w:val="0"/>
          <w:numId w:val="1"/>
        </w:numPr>
        <w:spacing w:after="60"/>
      </w:pPr>
      <w:r>
        <w:t xml:space="preserve">Système Autonome : entité logique englobant Suricata, le modèle LSTM-VAE, l'orchestrateur SOAR et le Système Multi-Agents.</w:t>
      </w:r>
    </w:p>
    <w:p>
      <w:pPr>
        <w:pStyle w:val="Heading1"/>
        <w:spacing w:after="200" w:before="400"/>
      </w:pPr>
      <w:r>
        <w:t xml:space="preserve">3. Besoins fonctionnels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00"/>
        <w:gridCol w:w="8040"/>
      </w:tblGrid>
      <w:tr>
        <w:tc>
          <w:tcPr>
            <w:tcW w:type="dxa" w:w="2200"/>
            <w:shd w:fill="1F3864" w:val="clear"/>
            <w:vAlign w:val="center"/>
          </w:tcPr>
          <w:p>
            <w:r>
              <w:rPr>
                <w:b/>
                <w:bCs/>
                <w:color w:val="FFFFFF"/>
                <w:sz w:val="18"/>
                <w:szCs w:val="18"/>
              </w:rPr>
              <w:t xml:space="preserve">Catégorie</w:t>
            </w:r>
          </w:p>
        </w:tc>
        <w:tc>
          <w:tcPr>
            <w:tcW w:type="dxa" w:w="8040"/>
            <w:shd w:fill="1F3864" w:val="clear"/>
            <w:vAlign w:val="center"/>
          </w:tcPr>
          <w:p>
            <w:r>
              <w:rPr>
                <w:b/>
                <w:bCs/>
                <w:color w:val="FFFFFF"/>
                <w:sz w:val="18"/>
                <w:szCs w:val="18"/>
              </w:rPr>
              <w:t xml:space="preserve">Description de l'exigence fonctionnelle</w:t>
            </w:r>
          </w:p>
        </w:tc>
      </w:tr>
      <w:tr>
        <w:tc>
          <w:tcPr>
            <w:tcW w:type="dxa" w:w="2000"/>
            <w:vAlign w:val="center"/>
          </w:tcPr>
          <w:p>
            <w:r>
              <w:rPr>
                <w:b w:val="false"/>
                <w:bCs w:val="false"/>
                <w:color w:val="000000"/>
                <w:sz w:val="18"/>
                <w:szCs w:val="18"/>
              </w:rPr>
              <w:t xml:space="preserve">Acquisition</w:t>
            </w:r>
          </w:p>
        </w:tc>
        <w:tc>
          <w:tcPr>
            <w:tcW w:type="dxa" w:w="8040"/>
            <w:vAlign w:val="center"/>
          </w:tcPr>
          <w:p>
            <w:r>
              <w:rPr>
                <w:b w:val="false"/>
                <w:bCs w:val="false"/>
                <w:color w:val="000000"/>
                <w:sz w:val="18"/>
                <w:szCs w:val="18"/>
              </w:rPr>
              <w:t xml:space="preserve">Le système doit capturer le trafic réseau en mode promiscuous via Suricata et générer une télémétrie sémantique structurée (EVE JSON) sans perte de paquets, même à très haut débit.</w:t>
            </w:r>
          </w:p>
        </w:tc>
      </w:tr>
      <w:tr>
        <w:tc>
          <w:tcPr>
            <w:tcW w:type="dxa" w:w="2000"/>
            <w:vAlign w:val="center"/>
          </w:tcPr>
          <w:p>
            <w:r>
              <w:rPr>
                <w:b w:val="false"/>
                <w:bCs w:val="false"/>
                <w:color w:val="000000"/>
                <w:sz w:val="18"/>
                <w:szCs w:val="18"/>
              </w:rPr>
              <w:t xml:space="preserve">Ingestion temps réel</w:t>
            </w:r>
          </w:p>
        </w:tc>
        <w:tc>
          <w:tcPr>
            <w:tcW w:type="dxa" w:w="8040"/>
            <w:vAlign w:val="center"/>
          </w:tcPr>
          <w:p>
            <w:r>
              <w:rPr>
                <w:b w:val="false"/>
                <w:bCs w:val="false"/>
                <w:color w:val="000000"/>
                <w:sz w:val="18"/>
                <w:szCs w:val="18"/>
              </w:rPr>
              <w:t xml:space="preserve">Le système doit acheminer les métadonnées volumétriques vers un broker Kafka pour permettre une consommation en streaming, découplée de la source Suricata.</w:t>
            </w:r>
          </w:p>
        </w:tc>
      </w:tr>
      <w:tr>
        <w:tc>
          <w:tcPr>
            <w:tcW w:type="dxa" w:w="2000"/>
            <w:vAlign w:val="center"/>
          </w:tcPr>
          <w:p>
            <w:r>
              <w:rPr>
                <w:b w:val="false"/>
                <w:bCs w:val="false"/>
                <w:color w:val="000000"/>
                <w:sz w:val="18"/>
                <w:szCs w:val="18"/>
              </w:rPr>
              <w:t xml:space="preserve">Centralisation &amp; audit</w:t>
            </w:r>
          </w:p>
        </w:tc>
        <w:tc>
          <w:tcPr>
            <w:tcW w:type="dxa" w:w="8040"/>
            <w:vAlign w:val="center"/>
          </w:tcPr>
          <w:p>
            <w:r>
              <w:rPr>
                <w:b w:val="false"/>
                <w:bCs w:val="false"/>
                <w:color w:val="000000"/>
                <w:sz w:val="18"/>
                <w:szCs w:val="18"/>
              </w:rPr>
              <w:t xml:space="preserve">Le système doit, en parallèle du chemin critique, parser, enrichir (GeoIP) et indexer les journaux dans Elasticsearch pour la supervision (Kibana) et l'audit — sans impacter la latence de détection.</w:t>
            </w:r>
          </w:p>
        </w:tc>
      </w:tr>
      <w:tr>
        <w:tc>
          <w:tcPr>
            <w:tcW w:type="dxa" w:w="2000"/>
            <w:vAlign w:val="center"/>
          </w:tcPr>
          <w:p>
            <w:r>
              <w:rPr>
                <w:b w:val="false"/>
                <w:bCs w:val="false"/>
                <w:color w:val="000000"/>
                <w:sz w:val="18"/>
                <w:szCs w:val="18"/>
              </w:rPr>
              <w:t xml:space="preserve">Inférence IA</w:t>
            </w:r>
          </w:p>
        </w:tc>
        <w:tc>
          <w:tcPr>
            <w:tcW w:type="dxa" w:w="8040"/>
            <w:vAlign w:val="center"/>
          </w:tcPr>
          <w:p>
            <w:r>
              <w:rPr>
                <w:b w:val="false"/>
                <w:bCs w:val="false"/>
                <w:color w:val="000000"/>
                <w:sz w:val="18"/>
                <w:szCs w:val="18"/>
              </w:rPr>
              <w:t xml:space="preserve">Le système doit évaluer en continu les séquences réseau via un modèle LSTM-VAE non-supervisé et générer un score d'anomalie (MSE), comparé à un seuil dynamique μ+3σ calculé sur le trafic sain.</w:t>
            </w:r>
          </w:p>
        </w:tc>
      </w:tr>
      <w:tr>
        <w:tc>
          <w:tcPr>
            <w:tcW w:type="dxa" w:w="2000"/>
            <w:vAlign w:val="center"/>
          </w:tcPr>
          <w:p>
            <w:r>
              <w:rPr>
                <w:b w:val="false"/>
                <w:bCs w:val="false"/>
                <w:color w:val="000000"/>
                <w:sz w:val="18"/>
                <w:szCs w:val="18"/>
              </w:rPr>
              <w:t xml:space="preserve">Remédiation (SOAR)</w:t>
            </w:r>
          </w:p>
        </w:tc>
        <w:tc>
          <w:tcPr>
            <w:tcW w:type="dxa" w:w="8040"/>
            <w:vAlign w:val="center"/>
          </w:tcPr>
          <w:p>
            <w:r>
              <w:rPr>
                <w:b w:val="false"/>
                <w:bCs w:val="false"/>
                <w:color w:val="000000"/>
                <w:sz w:val="18"/>
                <w:szCs w:val="18"/>
              </w:rPr>
              <w:t xml:space="preserve">L'orchestrateur doit interagir avec le pare-feu système (iptables) pour bloquer dynamiquement une IP malveillante dès le franchissement du seuil critique, en respectant une contrainte de latence &lt;15ms.</w:t>
            </w:r>
          </w:p>
        </w:tc>
      </w:tr>
      <w:tr>
        <w:tc>
          <w:tcPr>
            <w:tcW w:type="dxa" w:w="2000"/>
            <w:vAlign w:val="center"/>
          </w:tcPr>
          <w:p>
            <w:r>
              <w:rPr>
                <w:b w:val="false"/>
                <w:bCs w:val="false"/>
                <w:color w:val="000000"/>
                <w:sz w:val="18"/>
                <w:szCs w:val="18"/>
              </w:rPr>
              <w:t xml:space="preserve">Raisonnement cognitif (Agent IA)</w:t>
            </w:r>
          </w:p>
        </w:tc>
        <w:tc>
          <w:tcPr>
            <w:tcW w:type="dxa" w:w="8040"/>
            <w:vAlign w:val="center"/>
          </w:tcPr>
          <w:p>
            <w:r>
              <w:rPr>
                <w:b w:val="false"/>
                <w:bCs w:val="false"/>
                <w:color w:val="000000"/>
                <w:sz w:val="18"/>
                <w:szCs w:val="18"/>
              </w:rPr>
              <w:t xml:space="preserve">Un agent LLM local (Ollama/Llama3) doit interpréter sémantiquement l'anomalie détectée, générer un diagnostic (typologie d'attaque) et rédiger un rapport d'incident SOC, de manière strictement asynchrone par rapport au blocage.</w:t>
            </w:r>
          </w:p>
        </w:tc>
      </w:tr>
      <w:tr>
        <w:tc>
          <w:tcPr>
            <w:tcW w:type="dxa" w:w="2000"/>
            <w:vAlign w:val="center"/>
          </w:tcPr>
          <w:p>
            <w:r>
              <w:rPr>
                <w:b w:val="false"/>
                <w:bCs w:val="false"/>
                <w:color w:val="000000"/>
                <w:sz w:val="18"/>
                <w:szCs w:val="18"/>
              </w:rPr>
              <w:t xml:space="preserve">Gouvernance &amp; validation humaine</w:t>
            </w:r>
          </w:p>
        </w:tc>
        <w:tc>
          <w:tcPr>
            <w:tcW w:type="dxa" w:w="8040"/>
            <w:vAlign w:val="center"/>
          </w:tcPr>
          <w:p>
            <w:r>
              <w:rPr>
                <w:b w:val="false"/>
                <w:bCs w:val="false"/>
                <w:color w:val="000000"/>
                <w:sz w:val="18"/>
                <w:szCs w:val="18"/>
              </w:rPr>
              <w:t xml:space="preserve">Le système doit soumettre à l'Administrateur Sécurité toute action visant un actif critique (liste blanche) avant exécution, avec un délai de timeout configurable, et journaliser chaque décision pour audit.</w:t>
            </w:r>
          </w:p>
        </w:tc>
      </w:tr>
      <w:tr>
        <w:tc>
          <w:tcPr>
            <w:tcW w:type="dxa" w:w="2000"/>
            <w:vAlign w:val="center"/>
          </w:tcPr>
          <w:p>
            <w:r>
              <w:rPr>
                <w:b w:val="false"/>
                <w:bCs w:val="false"/>
                <w:color w:val="000000"/>
                <w:sz w:val="18"/>
                <w:szCs w:val="18"/>
              </w:rPr>
              <w:t xml:space="preserve">Anticipation (Agent CTI)</w:t>
            </w:r>
          </w:p>
        </w:tc>
        <w:tc>
          <w:tcPr>
            <w:tcW w:type="dxa" w:w="8040"/>
            <w:vAlign w:val="center"/>
          </w:tcPr>
          <w:p>
            <w:r>
              <w:rPr>
                <w:b w:val="false"/>
                <w:bCs w:val="false"/>
                <w:color w:val="000000"/>
                <w:sz w:val="18"/>
                <w:szCs w:val="18"/>
              </w:rPr>
              <w:t xml:space="preserve">Le système doit collecter, filtrer et classifier l'actualité cyber mondiale (OSINT, CVE) pour alimenter une base locale d'indicateurs de compromission (Threat DB) et proposer une mise à jour des règles de détection.</w:t>
            </w:r>
          </w:p>
        </w:tc>
      </w:tr>
      <w:tr>
        <w:tc>
          <w:tcPr>
            <w:tcW w:type="dxa" w:w="2000"/>
            <w:vAlign w:val="center"/>
          </w:tcPr>
          <w:p>
            <w:r>
              <w:rPr>
                <w:b w:val="false"/>
                <w:bCs w:val="false"/>
                <w:color w:val="000000"/>
                <w:sz w:val="18"/>
                <w:szCs w:val="18"/>
              </w:rPr>
              <w:t xml:space="preserve">Prévention ciblée (Agent Formation)</w:t>
            </w:r>
          </w:p>
        </w:tc>
        <w:tc>
          <w:tcPr>
            <w:tcW w:type="dxa" w:w="8040"/>
            <w:vAlign w:val="center"/>
          </w:tcPr>
          <w:p>
            <w:r>
              <w:rPr>
                <w:b w:val="false"/>
                <w:bCs w:val="false"/>
                <w:color w:val="000000"/>
                <w:sz w:val="18"/>
                <w:szCs w:val="18"/>
              </w:rPr>
              <w:t xml:space="preserve">Le système doit générer, via le LLM local, un contenu pédagogique contextualisé et cibler sa diffusion selon le profil de l'audience (global ou technique spécifique), en mode proactif (veille) ou réactif (post-incident).</w:t>
            </w:r>
          </w:p>
        </w:tc>
      </w:tr>
      <w:tr>
        <w:tc>
          <w:tcPr>
            <w:tcW w:type="dxa" w:w="2000"/>
            <w:vAlign w:val="center"/>
          </w:tcPr>
          <w:p>
            <w:r>
              <w:rPr>
                <w:b w:val="false"/>
                <w:bCs w:val="false"/>
                <w:color w:val="000000"/>
                <w:sz w:val="18"/>
                <w:szCs w:val="18"/>
              </w:rPr>
              <w:t xml:space="preserve">Industrialisation MLOps</w:t>
            </w:r>
          </w:p>
        </w:tc>
        <w:tc>
          <w:tcPr>
            <w:tcW w:type="dxa" w:w="8040"/>
            <w:vAlign w:val="center"/>
          </w:tcPr>
          <w:p>
            <w:r>
              <w:rPr>
                <w:b w:val="false"/>
                <w:bCs w:val="false"/>
                <w:color w:val="000000"/>
                <w:sz w:val="18"/>
                <w:szCs w:val="18"/>
              </w:rPr>
              <w:t xml:space="preserve">Le système doit permettre le ré-entraînement du modèle de détection selon un protocole Champion/Challenger, avec génération automatique d'un rapport de performance soumis à validation admin avant mise en production.</w:t>
            </w:r>
          </w:p>
        </w:tc>
      </w:tr>
    </w:tbl>
    <w:p>
      <w:r>
        <w:br w:type="page"/>
      </w:r>
    </w:p>
    <w:p>
      <w:pPr>
        <w:pStyle w:val="Heading1"/>
        <w:spacing w:after="200" w:before="400"/>
      </w:pPr>
      <w:r>
        <w:t xml:space="preserve">4. Besoins non-fonctionnels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00"/>
        <w:gridCol w:w="8040"/>
      </w:tblGrid>
      <w:tr>
        <w:tc>
          <w:tcPr>
            <w:tcW w:type="dxa" w:w="2200"/>
            <w:shd w:fill="1F3864" w:val="clear"/>
            <w:vAlign w:val="center"/>
          </w:tcPr>
          <w:p>
            <w:r>
              <w:rPr>
                <w:b/>
                <w:bCs/>
                <w:color w:val="FFFFFF"/>
                <w:sz w:val="18"/>
                <w:szCs w:val="18"/>
              </w:rPr>
              <w:t xml:space="preserve">Critère</w:t>
            </w:r>
          </w:p>
        </w:tc>
        <w:tc>
          <w:tcPr>
            <w:tcW w:type="dxa" w:w="8040"/>
            <w:shd w:fill="1F3864" w:val="clear"/>
            <w:vAlign w:val="center"/>
          </w:tcPr>
          <w:p>
            <w:r>
              <w:rPr>
                <w:b/>
                <w:bCs/>
                <w:color w:val="FFFFFF"/>
                <w:sz w:val="18"/>
                <w:szCs w:val="18"/>
              </w:rPr>
              <w:t xml:space="preserve">Description de l'exigence non-fonctionnelle</w:t>
            </w:r>
          </w:p>
        </w:tc>
      </w:tr>
      <w:tr>
        <w:tc>
          <w:tcPr>
            <w:tcW w:type="dxa" w:w="2000"/>
            <w:vAlign w:val="center"/>
          </w:tcPr>
          <w:p>
            <w:r>
              <w:rPr>
                <w:b w:val="false"/>
                <w:bCs w:val="false"/>
                <w:color w:val="000000"/>
                <w:sz w:val="18"/>
                <w:szCs w:val="18"/>
              </w:rPr>
              <w:t xml:space="preserve">Faible latence</w:t>
            </w:r>
          </w:p>
        </w:tc>
        <w:tc>
          <w:tcPr>
            <w:tcW w:type="dxa" w:w="8040"/>
            <w:vAlign w:val="center"/>
          </w:tcPr>
          <w:p>
            <w:r>
              <w:rPr>
                <w:b w:val="false"/>
                <w:bCs w:val="false"/>
                <w:color w:val="000000"/>
                <w:sz w:val="18"/>
                <w:szCs w:val="18"/>
              </w:rPr>
              <w:t xml:space="preserve">Le délai entre la détection d'une anomalie et l'application du confinement doit se mesurer en millisecondes (&lt;15ms), garanti par un modèle léger, un chargement unique en mémoire (warm-up) et un découplage strict du raisonnement cognitif asynchrone.</w:t>
            </w:r>
          </w:p>
        </w:tc>
      </w:tr>
      <w:tr>
        <w:tc>
          <w:tcPr>
            <w:tcW w:type="dxa" w:w="2000"/>
            <w:vAlign w:val="center"/>
          </w:tcPr>
          <w:p>
            <w:r>
              <w:rPr>
                <w:b w:val="false"/>
                <w:bCs w:val="false"/>
                <w:color w:val="000000"/>
                <w:sz w:val="18"/>
                <w:szCs w:val="18"/>
              </w:rPr>
              <w:t xml:space="preserve">Haute disponibilité</w:t>
            </w:r>
          </w:p>
        </w:tc>
        <w:tc>
          <w:tcPr>
            <w:tcW w:type="dxa" w:w="8040"/>
            <w:vAlign w:val="center"/>
          </w:tcPr>
          <w:p>
            <w:r>
              <w:rPr>
                <w:b w:val="false"/>
                <w:bCs w:val="false"/>
                <w:color w:val="000000"/>
                <w:sz w:val="18"/>
                <w:szCs w:val="18"/>
              </w:rPr>
              <w:t xml:space="preserve">Le pipeline d'ingestion ne doit souffrir d'aucun goulot d'étranglement (Zero-Copy), et une panne de la sonde Edge ne doit jamais affecter le Control Plane (découplage via Kafka).</w:t>
            </w:r>
          </w:p>
        </w:tc>
      </w:tr>
      <w:tr>
        <w:tc>
          <w:tcPr>
            <w:tcW w:type="dxa" w:w="2000"/>
            <w:vAlign w:val="center"/>
          </w:tcPr>
          <w:p>
            <w:r>
              <w:rPr>
                <w:b w:val="false"/>
                <w:bCs w:val="false"/>
                <w:color w:val="000000"/>
                <w:sz w:val="18"/>
                <w:szCs w:val="18"/>
              </w:rPr>
              <w:t xml:space="preserve">Modularité</w:t>
            </w:r>
          </w:p>
        </w:tc>
        <w:tc>
          <w:tcPr>
            <w:tcW w:type="dxa" w:w="8040"/>
            <w:vAlign w:val="center"/>
          </w:tcPr>
          <w:p>
            <w:r>
              <w:rPr>
                <w:b w:val="false"/>
                <w:bCs w:val="false"/>
                <w:color w:val="000000"/>
                <w:sz w:val="18"/>
                <w:szCs w:val="18"/>
              </w:rPr>
              <w:t xml:space="preserve">Chaque brique (NIDS, pipeline ETL, modèle IA, SOAR, agents) doit être isolée via conteneurisation Docker pour permettre des mises à jour indépendantes.</w:t>
            </w:r>
          </w:p>
        </w:tc>
      </w:tr>
      <w:tr>
        <w:tc>
          <w:tcPr>
            <w:tcW w:type="dxa" w:w="2000"/>
            <w:vAlign w:val="center"/>
          </w:tcPr>
          <w:p>
            <w:r>
              <w:rPr>
                <w:b w:val="false"/>
                <w:bCs w:val="false"/>
                <w:color w:val="000000"/>
                <w:sz w:val="18"/>
                <w:szCs w:val="18"/>
              </w:rPr>
              <w:t xml:space="preserve">Sécurité / isolation réseau</w:t>
            </w:r>
          </w:p>
        </w:tc>
        <w:tc>
          <w:tcPr>
            <w:tcW w:type="dxa" w:w="8040"/>
            <w:vAlign w:val="center"/>
          </w:tcPr>
          <w:p>
            <w:r>
              <w:rPr>
                <w:b w:val="false"/>
                <w:bCs w:val="false"/>
                <w:color w:val="000000"/>
                <w:sz w:val="18"/>
                <w:szCs w:val="18"/>
              </w:rPr>
              <w:t xml:space="preserve">Les composants exposés à internet (Agent CTI) doivent être isolés dans un réseau Docker dédié, distinct du réseau ayant un accès privilégié au pare-feu du host (SOAR).</w:t>
            </w:r>
          </w:p>
        </w:tc>
      </w:tr>
      <w:tr>
        <w:tc>
          <w:tcPr>
            <w:tcW w:type="dxa" w:w="2000"/>
            <w:vAlign w:val="center"/>
          </w:tcPr>
          <w:p>
            <w:r>
              <w:rPr>
                <w:b w:val="false"/>
                <w:bCs w:val="false"/>
                <w:color w:val="000000"/>
                <w:sz w:val="18"/>
                <w:szCs w:val="18"/>
              </w:rPr>
              <w:t xml:space="preserve">Souveraineté des données</w:t>
            </w:r>
          </w:p>
        </w:tc>
        <w:tc>
          <w:tcPr>
            <w:tcW w:type="dxa" w:w="8040"/>
            <w:vAlign w:val="center"/>
          </w:tcPr>
          <w:p>
            <w:r>
              <w:rPr>
                <w:b w:val="false"/>
                <w:bCs w:val="false"/>
                <w:color w:val="000000"/>
                <w:sz w:val="18"/>
                <w:szCs w:val="18"/>
              </w:rPr>
              <w:t xml:space="preserve">Le LLM (Agent IA / Agent Formation) doit s'exécuter localement (Ollama), sans aucun appel vers une API externe, pour garantir qu'aucune donnée réseau ne fuite sur internet.</w:t>
            </w:r>
          </w:p>
        </w:tc>
      </w:tr>
      <w:tr>
        <w:tc>
          <w:tcPr>
            <w:tcW w:type="dxa" w:w="2000"/>
            <w:vAlign w:val="center"/>
          </w:tcPr>
          <w:p>
            <w:r>
              <w:rPr>
                <w:b w:val="false"/>
                <w:bCs w:val="false"/>
                <w:color w:val="000000"/>
                <w:sz w:val="18"/>
                <w:szCs w:val="18"/>
              </w:rPr>
              <w:t xml:space="preserve">Privacy by Design</w:t>
            </w:r>
          </w:p>
        </w:tc>
        <w:tc>
          <w:tcPr>
            <w:tcW w:type="dxa" w:w="8040"/>
            <w:vAlign w:val="center"/>
          </w:tcPr>
          <w:p>
            <w:r>
              <w:rPr>
                <w:b w:val="false"/>
                <w:bCs w:val="false"/>
                <w:color w:val="000000"/>
                <w:sz w:val="18"/>
                <w:szCs w:val="18"/>
              </w:rPr>
              <w:t xml:space="preserve">Le système ne doit analyser que les métadonnées volumétriques (paquets/octets) ; l'inspection profonde du payload applicatif est exclue du design algorithmique.</w:t>
            </w:r>
          </w:p>
        </w:tc>
      </w:tr>
      <w:tr>
        <w:tc>
          <w:tcPr>
            <w:tcW w:type="dxa" w:w="2000"/>
            <w:vAlign w:val="center"/>
          </w:tcPr>
          <w:p>
            <w:r>
              <w:rPr>
                <w:b w:val="false"/>
                <w:bCs w:val="false"/>
                <w:color w:val="000000"/>
                <w:sz w:val="18"/>
                <w:szCs w:val="18"/>
              </w:rPr>
              <w:t xml:space="preserve">Gouvernance humaine</w:t>
            </w:r>
          </w:p>
        </w:tc>
        <w:tc>
          <w:tcPr>
            <w:tcW w:type="dxa" w:w="8040"/>
            <w:vAlign w:val="center"/>
          </w:tcPr>
          <w:p>
            <w:r>
              <w:rPr>
                <w:b w:val="false"/>
                <w:bCs w:val="false"/>
                <w:color w:val="000000"/>
                <w:sz w:val="18"/>
                <w:szCs w:val="18"/>
              </w:rPr>
              <w:t xml:space="preserve">Toute action à fort impact (blocage d'un actif critique, promotion d'un nouveau modèle) doit être soumise à validation explicite d'un Administrateur Sécurité.</w:t>
            </w:r>
          </w:p>
        </w:tc>
      </w:tr>
      <w:tr>
        <w:tc>
          <w:tcPr>
            <w:tcW w:type="dxa" w:w="2000"/>
            <w:vAlign w:val="center"/>
          </w:tcPr>
          <w:p>
            <w:r>
              <w:rPr>
                <w:b w:val="false"/>
                <w:bCs w:val="false"/>
                <w:color w:val="000000"/>
                <w:sz w:val="18"/>
                <w:szCs w:val="18"/>
              </w:rPr>
              <w:t xml:space="preserve">Reproductibilité</w:t>
            </w:r>
          </w:p>
        </w:tc>
        <w:tc>
          <w:tcPr>
            <w:tcW w:type="dxa" w:w="8040"/>
            <w:vAlign w:val="center"/>
          </w:tcPr>
          <w:p>
            <w:r>
              <w:rPr>
                <w:b w:val="false"/>
                <w:bCs w:val="false"/>
                <w:color w:val="000000"/>
                <w:sz w:val="18"/>
                <w:szCs w:val="18"/>
              </w:rPr>
              <w:t xml:space="preserve">L'ensemble de la plateforme doit pouvoir être redéployé de manière identique (Infrastructure as Code / Docker Compose) pour garantir la fiabilité de la démonstration.</w:t>
            </w:r>
          </w:p>
        </w:tc>
      </w:tr>
    </w:tbl>
    <w:p>
      <w:pPr>
        <w:pStyle w:val="Heading1"/>
        <w:spacing w:after="200" w:before="400"/>
      </w:pPr>
      <w:r>
        <w:t xml:space="preserve">5. Architecture générale</w:t>
      </w:r>
    </w:p>
    <w:p>
      <w:pPr>
        <w:pStyle w:val="Heading2"/>
        <w:spacing w:after="150" w:before="300"/>
      </w:pPr>
      <w:r>
        <w:t xml:space="preserve">5.1 Les trois plans d'exécution</w:t>
      </w:r>
    </w:p>
    <w:p>
      <w:pPr>
        <w:pStyle w:val="ListParagraph"/>
        <w:numPr>
          <w:ilvl w:val="0"/>
          <w:numId w:val="1"/>
        </w:numPr>
        <w:spacing w:after="60"/>
      </w:pPr>
      <w:r>
        <w:t xml:space="preserve">Data Plane : Suricata capture le trafic et l'expédie en parallèle vers Kafka (chemin critique) et vers Logstash/Elasticsearch/Kibana (audit et supervision, chemin non-critique).</w:t>
      </w:r>
    </w:p>
    <w:p>
      <w:pPr>
        <w:pStyle w:val="ListParagraph"/>
        <w:numPr>
          <w:ilvl w:val="0"/>
          <w:numId w:val="1"/>
        </w:numPr>
        <w:spacing w:after="60"/>
      </w:pPr>
      <w:r>
        <w:t xml:space="preserve">Control Plane : le modèle LSTM-VAE consomme le flux Kafka en streaming et calcule un score d'anomalie (MSE) comparé au seuil dynamique μ+3σ.</w:t>
      </w:r>
    </w:p>
    <w:p>
      <w:pPr>
        <w:pStyle w:val="ListParagraph"/>
        <w:numPr>
          <w:ilvl w:val="0"/>
          <w:numId w:val="1"/>
        </w:numPr>
        <w:spacing w:after="60"/>
      </w:pPr>
      <w:r>
        <w:t xml:space="preserve">Response Plane : le SOAR applique un confinement immédiat (iptables) et transmet, de façon strictement asynchrone, l'alerte à l'Agent IA pour diagnostic et rapport ; le Système Multi-Agents gère en parallèle la veille CTI et la formation ciblée.</w:t>
      </w:r>
    </w:p>
    <w:p>
      <w:pPr>
        <w:pStyle w:val="Heading2"/>
        <w:spacing w:after="150" w:before="300"/>
      </w:pPr>
      <w:r>
        <w:t xml:space="preserve">5.2 Segmentation Docker (4 réseaux isolés)</w:t>
      </w:r>
    </w:p>
    <w:p>
      <w:pPr>
        <w:pStyle w:val="ListParagraph"/>
        <w:numPr>
          <w:ilvl w:val="0"/>
          <w:numId w:val="1"/>
        </w:numPr>
        <w:spacing w:after="60"/>
      </w:pPr>
      <w:r>
        <w:t xml:space="preserve">Réseau Edge : Suricata, edge-collector.</w:t>
      </w:r>
    </w:p>
    <w:p>
      <w:pPr>
        <w:pStyle w:val="ListParagraph"/>
        <w:numPr>
          <w:ilvl w:val="0"/>
          <w:numId w:val="1"/>
        </w:numPr>
        <w:spacing w:after="60"/>
      </w:pPr>
      <w:r>
        <w:t xml:space="preserve">Réseau ML / Control Plane : Kafka + Zookeeper, realtime-interface.</w:t>
      </w:r>
    </w:p>
    <w:p>
      <w:pPr>
        <w:pStyle w:val="ListParagraph"/>
        <w:numPr>
          <w:ilvl w:val="0"/>
          <w:numId w:val="1"/>
        </w:numPr>
        <w:spacing w:after="60"/>
      </w:pPr>
      <w:r>
        <w:t xml:space="preserve">Réseau Réponse : SOAR, Ollama + Agent IA, dashboard d'approbation admin (communication via Kafka, pas d'appel HTTP synchrone).</w:t>
      </w:r>
    </w:p>
    <w:p>
      <w:pPr>
        <w:pStyle w:val="ListParagraph"/>
        <w:numPr>
          <w:ilvl w:val="0"/>
          <w:numId w:val="1"/>
        </w:numPr>
        <w:spacing w:after="60"/>
      </w:pPr>
      <w:r>
        <w:t xml:space="preserve">Réseau Veille : Agent CTI, Agent Formation, Threat DB — isolé car seul réseau nécessitant un accès sortant vers internet.</w:t>
      </w:r>
    </w:p>
    <w:p>
      <w:pPr>
        <w:pStyle w:val="Heading1"/>
        <w:spacing w:after="200" w:before="400"/>
      </w:pPr>
      <w:r>
        <w:t xml:space="preserve">6. Méthodologie</w:t>
      </w:r>
    </w:p>
    <w:p>
      <w:pPr>
        <w:spacing w:after="120"/>
      </w:pPr>
      <w:r>
        <w:t xml:space="preserve">La gouvernance de projet adopte une architecture à deux niveaux : Scrum pilote la macro-gestion (Releases, Sprints, rôles), tandis que MLOps structure, à l'intérieur des sprints IA, le cycle de vie complet du modèle (Data → Train → Evaluate → Deploy → Monitor → Retrain), incluant le pattern Champion/Challenger et la validation humaine pré-production.</w:t>
      </w:r>
    </w:p>
    <w:p>
      <w:pPr>
        <w:pStyle w:val="Heading1"/>
        <w:spacing w:after="200" w:before="400"/>
      </w:pPr>
      <w:r>
        <w:t xml:space="preserve">7. Backlog produit général (Épics)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540"/>
        <w:gridCol w:w="1400"/>
      </w:tblGrid>
      <w:tr>
        <w:tc>
          <w:tcPr>
            <w:tcW w:type="dxa" w:w="500"/>
            <w:shd w:fill="1F3864" w:val="clear"/>
            <w:vAlign w:val="center"/>
          </w:tcPr>
          <w:p>
            <w:r>
              <w:rPr>
                <w:b/>
                <w:bCs/>
                <w:color w:val="FFFFFF"/>
                <w:sz w:val="18"/>
                <w:szCs w:val="18"/>
              </w:rPr>
              <w:t xml:space="preserve">ID</w:t>
            </w:r>
          </w:p>
        </w:tc>
        <w:tc>
          <w:tcPr>
            <w:tcW w:type="dxa" w:w="2800"/>
            <w:shd w:fill="1F3864" w:val="clear"/>
            <w:vAlign w:val="center"/>
          </w:tcPr>
          <w:p>
            <w:r>
              <w:rPr>
                <w:b/>
                <w:bCs/>
                <w:color w:val="FFFFFF"/>
                <w:sz w:val="18"/>
                <w:szCs w:val="18"/>
              </w:rPr>
              <w:t xml:space="preserve">Épic</w:t>
            </w:r>
          </w:p>
        </w:tc>
        <w:tc>
          <w:tcPr>
            <w:tcW w:type="dxa" w:w="5540"/>
            <w:shd w:fill="1F3864" w:val="clear"/>
            <w:vAlign w:val="center"/>
          </w:tcPr>
          <w:p>
            <w:r>
              <w:rPr>
                <w:b/>
                <w:bCs/>
                <w:color w:val="FFFFFF"/>
                <w:sz w:val="18"/>
                <w:szCs w:val="18"/>
              </w:rPr>
              <w:t xml:space="preserve">Description</w:t>
            </w:r>
          </w:p>
        </w:tc>
        <w:tc>
          <w:tcPr>
            <w:tcW w:type="dxa" w:w="1400"/>
            <w:shd w:fill="1F3864" w:val="clear"/>
            <w:vAlign w:val="center"/>
          </w:tcPr>
          <w:p>
            <w:r>
              <w:rPr>
                <w:b/>
                <w:bCs/>
                <w:color w:val="FFFFFF"/>
                <w:sz w:val="18"/>
                <w:szCs w:val="18"/>
              </w:rPr>
              <w:t xml:space="preserve">Priorité</w:t>
            </w:r>
          </w:p>
        </w:tc>
      </w:tr>
      <w:tr>
        <w:tc>
          <w:tcPr>
            <w:tcW w:type="dxa" w:w="500"/>
            <w:vAlign w:val="center"/>
          </w:tcPr>
          <w:p>
            <w:r>
              <w:rPr>
                <w:b w:val="false"/>
                <w:bCs w:val="false"/>
                <w:color w:val="000000"/>
                <w:sz w:val="18"/>
                <w:szCs w:val="18"/>
              </w:rPr>
              <w:t xml:space="preserve">1</w:t>
            </w:r>
          </w:p>
        </w:tc>
        <w:tc>
          <w:tcPr>
            <w:tcW w:type="dxa" w:w="2800"/>
            <w:vAlign w:val="center"/>
          </w:tcPr>
          <w:p>
            <w:r>
              <w:rPr>
                <w:b w:val="false"/>
                <w:bCs w:val="false"/>
                <w:color w:val="000000"/>
                <w:sz w:val="18"/>
                <w:szCs w:val="18"/>
              </w:rPr>
              <w:t xml:space="preserve">Ingénierie d'Acquisition NIDS</w:t>
            </w:r>
          </w:p>
        </w:tc>
        <w:tc>
          <w:tcPr>
            <w:tcW w:type="dxa" w:w="5540"/>
            <w:vAlign w:val="center"/>
          </w:tcPr>
          <w:p>
            <w:r>
              <w:rPr>
                <w:b w:val="false"/>
                <w:bCs w:val="false"/>
                <w:color w:val="000000"/>
                <w:sz w:val="18"/>
                <w:szCs w:val="18"/>
              </w:rPr>
              <w:t xml:space="preserve">Capture passive du trafic via Suricata, télémétrie sémantique structurée.</w:t>
            </w:r>
          </w:p>
        </w:tc>
        <w:tc>
          <w:tcPr>
            <w:tcW w:type="dxa" w:w="1400"/>
            <w:vAlign w:val="center"/>
          </w:tcPr>
          <w:p>
            <w:r>
              <w:rPr>
                <w:b w:val="false"/>
                <w:bCs w:val="false"/>
                <w:color w:val="000000"/>
                <w:sz w:val="18"/>
                <w:szCs w:val="18"/>
              </w:rPr>
              <w:t xml:space="preserve">Haute</w:t>
            </w:r>
          </w:p>
        </w:tc>
      </w:tr>
      <w:tr>
        <w:tc>
          <w:tcPr>
            <w:tcW w:type="dxa" w:w="500"/>
            <w:vAlign w:val="center"/>
          </w:tcPr>
          <w:p>
            <w:r>
              <w:rPr>
                <w:b w:val="false"/>
                <w:bCs w:val="false"/>
                <w:color w:val="000000"/>
                <w:sz w:val="18"/>
                <w:szCs w:val="18"/>
              </w:rPr>
              <w:t xml:space="preserve">2</w:t>
            </w:r>
          </w:p>
        </w:tc>
        <w:tc>
          <w:tcPr>
            <w:tcW w:type="dxa" w:w="2800"/>
            <w:vAlign w:val="center"/>
          </w:tcPr>
          <w:p>
            <w:r>
              <w:rPr>
                <w:b w:val="false"/>
                <w:bCs w:val="false"/>
                <w:color w:val="000000"/>
                <w:sz w:val="18"/>
                <w:szCs w:val="18"/>
              </w:rPr>
              <w:t xml:space="preserve">Ingestion Big Data &amp; Streaming</w:t>
            </w:r>
          </w:p>
        </w:tc>
        <w:tc>
          <w:tcPr>
            <w:tcW w:type="dxa" w:w="5540"/>
            <w:vAlign w:val="center"/>
          </w:tcPr>
          <w:p>
            <w:r>
              <w:rPr>
                <w:b w:val="false"/>
                <w:bCs w:val="false"/>
                <w:color w:val="000000"/>
                <w:sz w:val="18"/>
                <w:szCs w:val="18"/>
              </w:rPr>
              <w:t xml:space="preserve">Double chemin : Kafka (streaming critique) et pipeline ETL ELK (audit/supervision).</w:t>
            </w:r>
          </w:p>
        </w:tc>
        <w:tc>
          <w:tcPr>
            <w:tcW w:type="dxa" w:w="1400"/>
            <w:vAlign w:val="center"/>
          </w:tcPr>
          <w:p>
            <w:r>
              <w:rPr>
                <w:b w:val="false"/>
                <w:bCs w:val="false"/>
                <w:color w:val="000000"/>
                <w:sz w:val="18"/>
                <w:szCs w:val="18"/>
              </w:rPr>
              <w:t xml:space="preserve">Haute</w:t>
            </w:r>
          </w:p>
        </w:tc>
      </w:tr>
      <w:tr>
        <w:tc>
          <w:tcPr>
            <w:tcW w:type="dxa" w:w="500"/>
            <w:vAlign w:val="center"/>
          </w:tcPr>
          <w:p>
            <w:r>
              <w:rPr>
                <w:b w:val="false"/>
                <w:bCs w:val="false"/>
                <w:color w:val="000000"/>
                <w:sz w:val="18"/>
                <w:szCs w:val="18"/>
              </w:rPr>
              <w:t xml:space="preserve">3</w:t>
            </w:r>
          </w:p>
        </w:tc>
        <w:tc>
          <w:tcPr>
            <w:tcW w:type="dxa" w:w="2800"/>
            <w:vAlign w:val="center"/>
          </w:tcPr>
          <w:p>
            <w:r>
              <w:rPr>
                <w:b w:val="false"/>
                <w:bCs w:val="false"/>
                <w:color w:val="000000"/>
                <w:sz w:val="18"/>
                <w:szCs w:val="18"/>
              </w:rPr>
              <w:t xml:space="preserve">Analyse IA Probabiliste</w:t>
            </w:r>
          </w:p>
        </w:tc>
        <w:tc>
          <w:tcPr>
            <w:tcW w:type="dxa" w:w="5540"/>
            <w:vAlign w:val="center"/>
          </w:tcPr>
          <w:p>
            <w:r>
              <w:rPr>
                <w:b w:val="false"/>
                <w:bCs w:val="false"/>
                <w:color w:val="000000"/>
                <w:sz w:val="18"/>
                <w:szCs w:val="18"/>
              </w:rPr>
              <w:t xml:space="preserve">LSTM-VAE entraîné sur dataset réel, seuil dynamique μ+3σ.</w:t>
            </w:r>
          </w:p>
        </w:tc>
        <w:tc>
          <w:tcPr>
            <w:tcW w:type="dxa" w:w="1400"/>
            <w:vAlign w:val="center"/>
          </w:tcPr>
          <w:p>
            <w:r>
              <w:rPr>
                <w:b w:val="false"/>
                <w:bCs w:val="false"/>
                <w:color w:val="000000"/>
                <w:sz w:val="18"/>
                <w:szCs w:val="18"/>
              </w:rPr>
              <w:t xml:space="preserve">Haute</w:t>
            </w:r>
          </w:p>
        </w:tc>
      </w:tr>
      <w:tr>
        <w:tc>
          <w:tcPr>
            <w:tcW w:type="dxa" w:w="500"/>
            <w:vAlign w:val="center"/>
          </w:tcPr>
          <w:p>
            <w:r>
              <w:rPr>
                <w:b w:val="false"/>
                <w:bCs w:val="false"/>
                <w:color w:val="000000"/>
                <w:sz w:val="18"/>
                <w:szCs w:val="18"/>
              </w:rPr>
              <w:t xml:space="preserve">4</w:t>
            </w:r>
          </w:p>
        </w:tc>
        <w:tc>
          <w:tcPr>
            <w:tcW w:type="dxa" w:w="2800"/>
            <w:vAlign w:val="center"/>
          </w:tcPr>
          <w:p>
            <w:r>
              <w:rPr>
                <w:b w:val="false"/>
                <w:bCs w:val="false"/>
                <w:color w:val="000000"/>
                <w:sz w:val="18"/>
                <w:szCs w:val="18"/>
              </w:rPr>
              <w:t xml:space="preserve">Orchestration SOAR</w:t>
            </w:r>
          </w:p>
        </w:tc>
        <w:tc>
          <w:tcPr>
            <w:tcW w:type="dxa" w:w="5540"/>
            <w:vAlign w:val="center"/>
          </w:tcPr>
          <w:p>
            <w:r>
              <w:rPr>
                <w:b w:val="false"/>
                <w:bCs w:val="false"/>
                <w:color w:val="000000"/>
                <w:sz w:val="18"/>
                <w:szCs w:val="18"/>
              </w:rPr>
              <w:t xml:space="preserve">Confinement automatique via iptables, moteur de décision Zero-Trust.</w:t>
            </w:r>
          </w:p>
        </w:tc>
        <w:tc>
          <w:tcPr>
            <w:tcW w:type="dxa" w:w="1400"/>
            <w:vAlign w:val="center"/>
          </w:tcPr>
          <w:p>
            <w:r>
              <w:rPr>
                <w:b w:val="false"/>
                <w:bCs w:val="false"/>
                <w:color w:val="000000"/>
                <w:sz w:val="18"/>
                <w:szCs w:val="18"/>
              </w:rPr>
              <w:t xml:space="preserve">Haute</w:t>
            </w:r>
          </w:p>
        </w:tc>
      </w:tr>
      <w:tr>
        <w:tc>
          <w:tcPr>
            <w:tcW w:type="dxa" w:w="500"/>
            <w:vAlign w:val="center"/>
          </w:tcPr>
          <w:p>
            <w:r>
              <w:rPr>
                <w:b w:val="false"/>
                <w:bCs w:val="false"/>
                <w:color w:val="000000"/>
                <w:sz w:val="18"/>
                <w:szCs w:val="18"/>
              </w:rPr>
              <w:t xml:space="preserve">5</w:t>
            </w:r>
          </w:p>
        </w:tc>
        <w:tc>
          <w:tcPr>
            <w:tcW w:type="dxa" w:w="2800"/>
            <w:vAlign w:val="center"/>
          </w:tcPr>
          <w:p>
            <w:r>
              <w:rPr>
                <w:b w:val="false"/>
                <w:bCs w:val="false"/>
                <w:color w:val="000000"/>
                <w:sz w:val="18"/>
                <w:szCs w:val="18"/>
              </w:rPr>
              <w:t xml:space="preserve">Raisonnement Cognitif (Agent IA)</w:t>
            </w:r>
          </w:p>
        </w:tc>
        <w:tc>
          <w:tcPr>
            <w:tcW w:type="dxa" w:w="5540"/>
            <w:vAlign w:val="center"/>
          </w:tcPr>
          <w:p>
            <w:r>
              <w:rPr>
                <w:b w:val="false"/>
                <w:bCs w:val="false"/>
                <w:color w:val="000000"/>
                <w:sz w:val="18"/>
                <w:szCs w:val="18"/>
              </w:rPr>
              <w:t xml:space="preserve">Diagnostic sémantique LLM local (Ollama), génération de rapport SOC, découplage asynchrone.</w:t>
            </w:r>
          </w:p>
        </w:tc>
        <w:tc>
          <w:tcPr>
            <w:tcW w:type="dxa" w:w="1400"/>
            <w:vAlign w:val="center"/>
          </w:tcPr>
          <w:p>
            <w:r>
              <w:rPr>
                <w:b w:val="false"/>
                <w:bCs w:val="false"/>
                <w:color w:val="000000"/>
                <w:sz w:val="18"/>
                <w:szCs w:val="18"/>
              </w:rPr>
              <w:t xml:space="preserve">Haute</w:t>
            </w:r>
          </w:p>
        </w:tc>
      </w:tr>
      <w:tr>
        <w:tc>
          <w:tcPr>
            <w:tcW w:type="dxa" w:w="500"/>
            <w:vAlign w:val="center"/>
          </w:tcPr>
          <w:p>
            <w:r>
              <w:rPr>
                <w:b w:val="false"/>
                <w:bCs w:val="false"/>
                <w:color w:val="000000"/>
                <w:sz w:val="18"/>
                <w:szCs w:val="18"/>
              </w:rPr>
              <w:t xml:space="preserve">6</w:t>
            </w:r>
          </w:p>
        </w:tc>
        <w:tc>
          <w:tcPr>
            <w:tcW w:type="dxa" w:w="2800"/>
            <w:vAlign w:val="center"/>
          </w:tcPr>
          <w:p>
            <w:r>
              <w:rPr>
                <w:b w:val="false"/>
                <w:bCs w:val="false"/>
                <w:color w:val="000000"/>
                <w:sz w:val="18"/>
                <w:szCs w:val="18"/>
              </w:rPr>
              <w:t xml:space="preserve">Gouvernance &amp; Validation Humaine</w:t>
            </w:r>
          </w:p>
        </w:tc>
        <w:tc>
          <w:tcPr>
            <w:tcW w:type="dxa" w:w="5540"/>
            <w:vAlign w:val="center"/>
          </w:tcPr>
          <w:p>
            <w:r>
              <w:rPr>
                <w:b w:val="false"/>
                <w:bCs w:val="false"/>
                <w:color w:val="000000"/>
                <w:sz w:val="18"/>
                <w:szCs w:val="18"/>
              </w:rPr>
              <w:t xml:space="preserve">Liste d'actifs critiques, workflow d'approbation admin, audit.</w:t>
            </w:r>
          </w:p>
        </w:tc>
        <w:tc>
          <w:tcPr>
            <w:tcW w:type="dxa" w:w="1400"/>
            <w:vAlign w:val="center"/>
          </w:tcPr>
          <w:p>
            <w:r>
              <w:rPr>
                <w:b w:val="false"/>
                <w:bCs w:val="false"/>
                <w:color w:val="000000"/>
                <w:sz w:val="18"/>
                <w:szCs w:val="18"/>
              </w:rPr>
              <w:t xml:space="preserve">Haute</w:t>
            </w:r>
          </w:p>
        </w:tc>
      </w:tr>
      <w:tr>
        <w:tc>
          <w:tcPr>
            <w:tcW w:type="dxa" w:w="500"/>
            <w:vAlign w:val="center"/>
          </w:tcPr>
          <w:p>
            <w:r>
              <w:rPr>
                <w:b w:val="false"/>
                <w:bCs w:val="false"/>
                <w:color w:val="000000"/>
                <w:sz w:val="18"/>
                <w:szCs w:val="18"/>
              </w:rPr>
              <w:t xml:space="preserve">7</w:t>
            </w:r>
          </w:p>
        </w:tc>
        <w:tc>
          <w:tcPr>
            <w:tcW w:type="dxa" w:w="2800"/>
            <w:vAlign w:val="center"/>
          </w:tcPr>
          <w:p>
            <w:r>
              <w:rPr>
                <w:b w:val="false"/>
                <w:bCs w:val="false"/>
                <w:color w:val="000000"/>
                <w:sz w:val="18"/>
                <w:szCs w:val="18"/>
              </w:rPr>
              <w:t xml:space="preserve">Anticipation CTI</w:t>
            </w:r>
          </w:p>
        </w:tc>
        <w:tc>
          <w:tcPr>
            <w:tcW w:type="dxa" w:w="5540"/>
            <w:vAlign w:val="center"/>
          </w:tcPr>
          <w:p>
            <w:r>
              <w:rPr>
                <w:b w:val="false"/>
                <w:bCs w:val="false"/>
                <w:color w:val="000000"/>
                <w:sz w:val="18"/>
                <w:szCs w:val="18"/>
              </w:rPr>
              <w:t xml:space="preserve">Veille OSINT proactive, Threat DB, mise à jour des règles.</w:t>
            </w:r>
          </w:p>
        </w:tc>
        <w:tc>
          <w:tcPr>
            <w:tcW w:type="dxa" w:w="1400"/>
            <w:vAlign w:val="center"/>
          </w:tcPr>
          <w:p>
            <w:r>
              <w:rPr>
                <w:b w:val="false"/>
                <w:bCs w:val="false"/>
                <w:color w:val="000000"/>
                <w:sz w:val="18"/>
                <w:szCs w:val="18"/>
              </w:rPr>
              <w:t xml:space="preserve">Moyenne</w:t>
            </w:r>
          </w:p>
        </w:tc>
      </w:tr>
      <w:tr>
        <w:tc>
          <w:tcPr>
            <w:tcW w:type="dxa" w:w="500"/>
            <w:vAlign w:val="center"/>
          </w:tcPr>
          <w:p>
            <w:r>
              <w:rPr>
                <w:b w:val="false"/>
                <w:bCs w:val="false"/>
                <w:color w:val="000000"/>
                <w:sz w:val="18"/>
                <w:szCs w:val="18"/>
              </w:rPr>
              <w:t xml:space="preserve">8</w:t>
            </w:r>
          </w:p>
        </w:tc>
        <w:tc>
          <w:tcPr>
            <w:tcW w:type="dxa" w:w="2800"/>
            <w:vAlign w:val="center"/>
          </w:tcPr>
          <w:p>
            <w:r>
              <w:rPr>
                <w:b w:val="false"/>
                <w:bCs w:val="false"/>
                <w:color w:val="000000"/>
                <w:sz w:val="18"/>
                <w:szCs w:val="18"/>
              </w:rPr>
              <w:t xml:space="preserve">Formation Ciblée</w:t>
            </w:r>
          </w:p>
        </w:tc>
        <w:tc>
          <w:tcPr>
            <w:tcW w:type="dxa" w:w="5540"/>
            <w:vAlign w:val="center"/>
          </w:tcPr>
          <w:p>
            <w:r>
              <w:rPr>
                <w:b w:val="false"/>
                <w:bCs w:val="false"/>
                <w:color w:val="000000"/>
                <w:sz w:val="18"/>
                <w:szCs w:val="18"/>
              </w:rPr>
              <w:t xml:space="preserve">Génération de contenu pédagogique personnalisé par profil, diffusion proactive/réactive.</w:t>
            </w:r>
          </w:p>
        </w:tc>
        <w:tc>
          <w:tcPr>
            <w:tcW w:type="dxa" w:w="1400"/>
            <w:vAlign w:val="center"/>
          </w:tcPr>
          <w:p>
            <w:r>
              <w:rPr>
                <w:b w:val="false"/>
                <w:bCs w:val="false"/>
                <w:color w:val="000000"/>
                <w:sz w:val="18"/>
                <w:szCs w:val="18"/>
              </w:rPr>
              <w:t xml:space="preserve">Moyenne</w:t>
            </w:r>
          </w:p>
        </w:tc>
      </w:tr>
      <w:tr>
        <w:tc>
          <w:tcPr>
            <w:tcW w:type="dxa" w:w="500"/>
            <w:vAlign w:val="center"/>
          </w:tcPr>
          <w:p>
            <w:r>
              <w:rPr>
                <w:b w:val="false"/>
                <w:bCs w:val="false"/>
                <w:color w:val="000000"/>
                <w:sz w:val="18"/>
                <w:szCs w:val="18"/>
              </w:rPr>
              <w:t xml:space="preserve">9</w:t>
            </w:r>
          </w:p>
        </w:tc>
        <w:tc>
          <w:tcPr>
            <w:tcW w:type="dxa" w:w="2800"/>
            <w:vAlign w:val="center"/>
          </w:tcPr>
          <w:p>
            <w:r>
              <w:rPr>
                <w:b w:val="false"/>
                <w:bCs w:val="false"/>
                <w:color w:val="000000"/>
                <w:sz w:val="18"/>
                <w:szCs w:val="18"/>
              </w:rPr>
              <w:t xml:space="preserve">Industrialisation MLOps</w:t>
            </w:r>
          </w:p>
        </w:tc>
        <w:tc>
          <w:tcPr>
            <w:tcW w:type="dxa" w:w="5540"/>
            <w:vAlign w:val="center"/>
          </w:tcPr>
          <w:p>
            <w:r>
              <w:rPr>
                <w:b w:val="false"/>
                <w:bCs w:val="false"/>
                <w:color w:val="000000"/>
                <w:sz w:val="18"/>
                <w:szCs w:val="18"/>
              </w:rPr>
              <w:t xml:space="preserve">Conteneurisation Docker (4 réseaux), pipeline de ré-entraînement Champion/Challenger.</w:t>
            </w:r>
          </w:p>
        </w:tc>
        <w:tc>
          <w:tcPr>
            <w:tcW w:type="dxa" w:w="1400"/>
            <w:vAlign w:val="center"/>
          </w:tcPr>
          <w:p>
            <w:r>
              <w:rPr>
                <w:b w:val="false"/>
                <w:bCs w:val="false"/>
                <w:color w:val="000000"/>
                <w:sz w:val="18"/>
                <w:szCs w:val="18"/>
              </w:rPr>
              <w:t xml:space="preserve">Moyenne</w:t>
            </w:r>
          </w:p>
        </w:tc>
      </w:tr>
    </w:tbl>
    <w:p>
      <w:r>
        <w:br w:type="page"/>
      </w:r>
    </w:p>
    <w:p>
      <w:pPr>
        <w:pStyle w:val="Heading1"/>
        <w:spacing w:after="200" w:before="400"/>
      </w:pPr>
      <w:r>
        <w:t xml:space="preserve">8. Planification des Releases et Sprints</w:t>
      </w:r>
    </w:p>
    <w:p>
      <w:pPr>
        <w:pStyle w:val="Heading2"/>
        <w:spacing w:after="150" w:before="300"/>
      </w:pPr>
      <w:r>
        <w:t xml:space="preserve">Release 1 — Détection</w:t>
      </w:r>
    </w:p>
    <w:p>
      <w:pPr>
        <w:pStyle w:val="Heading3"/>
        <w:spacing w:after="100" w:before="200"/>
      </w:pPr>
      <w:r>
        <w:t xml:space="preserve">Sprint 1 : Déploiement Suricata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1.1</w:t>
            </w:r>
          </w:p>
        </w:tc>
        <w:tc>
          <w:tcPr>
            <w:tcW w:type="dxa" w:w="8140"/>
            <w:vAlign w:val="center"/>
          </w:tcPr>
          <w:p>
            <w:r>
              <w:rPr>
                <w:b w:val="false"/>
                <w:bCs w:val="false"/>
                <w:color w:val="000000"/>
                <w:sz w:val="18"/>
                <w:szCs w:val="18"/>
              </w:rPr>
              <w:t xml:space="preserve">En tant que Système, je dois capturer le trafic réseau via l'interface en mode promiscuous sans altérer la latence de production.</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1.2</w:t>
            </w:r>
          </w:p>
        </w:tc>
        <w:tc>
          <w:tcPr>
            <w:tcW w:type="dxa" w:w="8140"/>
            <w:vAlign w:val="center"/>
          </w:tcPr>
          <w:p>
            <w:r>
              <w:rPr>
                <w:b w:val="false"/>
                <w:bCs w:val="false"/>
                <w:color w:val="000000"/>
                <w:sz w:val="18"/>
                <w:szCs w:val="18"/>
              </w:rPr>
              <w:t xml:space="preserve">En tant qu'Architecte, je veux configurer Suricata pour activer le multithreading (AF_PACKET) et éviter le packet drop.</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1.3</w:t>
            </w:r>
          </w:p>
        </w:tc>
        <w:tc>
          <w:tcPr>
            <w:tcW w:type="dxa" w:w="8140"/>
            <w:vAlign w:val="center"/>
          </w:tcPr>
          <w:p>
            <w:r>
              <w:rPr>
                <w:b w:val="false"/>
                <w:bCs w:val="false"/>
                <w:color w:val="000000"/>
                <w:sz w:val="18"/>
                <w:szCs w:val="18"/>
              </w:rPr>
              <w:t xml:space="preserve">En tant que Système, je dois sérialiser les flux décodés au format unifié EVE JSON.</w:t>
            </w:r>
          </w:p>
        </w:tc>
        <w:tc>
          <w:tcPr>
            <w:tcW w:type="dxa" w:w="1400"/>
            <w:vAlign w:val="center"/>
          </w:tcPr>
          <w:p>
            <w:r>
              <w:rPr>
                <w:b w:val="false"/>
                <w:bCs w:val="false"/>
                <w:color w:val="000000"/>
                <w:sz w:val="18"/>
                <w:szCs w:val="18"/>
              </w:rPr>
              <w:t xml:space="preserve">2 jours</w:t>
            </w:r>
          </w:p>
        </w:tc>
      </w:tr>
    </w:tbl>
    <w:p>
      <w:pPr>
        <w:pStyle w:val="Heading3"/>
        <w:spacing w:after="100" w:before="200"/>
      </w:pPr>
      <w:r>
        <w:t xml:space="preserve">Sprint 2 : Pipeline Big Data (double chemin Kafka / ELK)</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2.1</w:t>
            </w:r>
          </w:p>
        </w:tc>
        <w:tc>
          <w:tcPr>
            <w:tcW w:type="dxa" w:w="8140"/>
            <w:vAlign w:val="center"/>
          </w:tcPr>
          <w:p>
            <w:r>
              <w:rPr>
                <w:b w:val="false"/>
                <w:bCs w:val="false"/>
                <w:color w:val="000000"/>
                <w:sz w:val="18"/>
                <w:szCs w:val="18"/>
              </w:rPr>
              <w:t xml:space="preserve">En tant que Système, je dois expédier les logs vers Kafka (edge_collector) ET vers Logstash (Filebeat), en parallèle, sans dépendance entre les deux chemins.</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2.2</w:t>
            </w:r>
          </w:p>
        </w:tc>
        <w:tc>
          <w:tcPr>
            <w:tcW w:type="dxa" w:w="8140"/>
            <w:vAlign w:val="center"/>
          </w:tcPr>
          <w:p>
            <w:r>
              <w:rPr>
                <w:b w:val="false"/>
                <w:bCs w:val="false"/>
                <w:color w:val="000000"/>
                <w:sz w:val="18"/>
                <w:szCs w:val="18"/>
              </w:rPr>
              <w:t xml:space="preserve">En tant que Système, je dois parser et enrichir les données (Logstash), notamment par résolution GeoIP.</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2.3</w:t>
            </w:r>
          </w:p>
        </w:tc>
        <w:tc>
          <w:tcPr>
            <w:tcW w:type="dxa" w:w="8140"/>
            <w:vAlign w:val="center"/>
          </w:tcPr>
          <w:p>
            <w:r>
              <w:rPr>
                <w:b w:val="false"/>
                <w:bCs w:val="false"/>
                <w:color w:val="000000"/>
                <w:sz w:val="18"/>
                <w:szCs w:val="18"/>
              </w:rPr>
              <w:t xml:space="preserve">En tant qu'Architecte, je veux indexer ces données dans Elasticsearch en limitant le heap JVM pour respecter le budget mémoire des VMs.</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2.4</w:t>
            </w:r>
          </w:p>
        </w:tc>
        <w:tc>
          <w:tcPr>
            <w:tcW w:type="dxa" w:w="8140"/>
            <w:vAlign w:val="center"/>
          </w:tcPr>
          <w:p>
            <w:r>
              <w:rPr>
                <w:b w:val="false"/>
                <w:bCs w:val="false"/>
                <w:color w:val="000000"/>
                <w:sz w:val="18"/>
                <w:szCs w:val="18"/>
              </w:rPr>
              <w:t xml:space="preserve">En tant qu'Architecte, je veux construire un tableau de bord Kibana pour l'audit et la supervision humaine (non-critique).</w:t>
            </w:r>
          </w:p>
        </w:tc>
        <w:tc>
          <w:tcPr>
            <w:tcW w:type="dxa" w:w="1400"/>
            <w:vAlign w:val="center"/>
          </w:tcPr>
          <w:p>
            <w:r>
              <w:rPr>
                <w:b w:val="false"/>
                <w:bCs w:val="false"/>
                <w:color w:val="000000"/>
                <w:sz w:val="18"/>
                <w:szCs w:val="18"/>
              </w:rPr>
              <w:t xml:space="preserve">3 jours</w:t>
            </w:r>
          </w:p>
        </w:tc>
      </w:tr>
    </w:tbl>
    <w:p>
      <w:pPr>
        <w:pStyle w:val="Heading3"/>
        <w:spacing w:after="100" w:before="200"/>
      </w:pPr>
      <w:r>
        <w:t xml:space="preserve">Sprint 3 : Modèle LSTM-VAE (dataset réel, seuil μ+3σ)</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3.1</w:t>
            </w:r>
          </w:p>
        </w:tc>
        <w:tc>
          <w:tcPr>
            <w:tcW w:type="dxa" w:w="8140"/>
            <w:vAlign w:val="center"/>
          </w:tcPr>
          <w:p>
            <w:r>
              <w:rPr>
                <w:b w:val="false"/>
                <w:bCs w:val="false"/>
                <w:color w:val="000000"/>
                <w:sz w:val="18"/>
                <w:szCs w:val="18"/>
              </w:rPr>
              <w:t xml:space="preserve">En tant que Data Scientist, je dois intégrer et nettoyer le dataset réel CIC-IDS-2017 (trafic BENIGN) via pandas, avec lecture par chunks.</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3.2</w:t>
            </w:r>
          </w:p>
        </w:tc>
        <w:tc>
          <w:tcPr>
            <w:tcW w:type="dxa" w:w="8140"/>
            <w:vAlign w:val="center"/>
          </w:tcPr>
          <w:p>
            <w:r>
              <w:rPr>
                <w:b w:val="false"/>
                <w:bCs w:val="false"/>
                <w:color w:val="000000"/>
                <w:sz w:val="18"/>
                <w:szCs w:val="18"/>
              </w:rPr>
              <w:t xml:space="preserve">En tant qu'Architecte, je veux concevoir l'architecture LSTM-VAE (fenêtre glissante de 10 flux, espace latent dimension 2).</w:t>
            </w:r>
          </w:p>
        </w:tc>
        <w:tc>
          <w:tcPr>
            <w:tcW w:type="dxa" w:w="1400"/>
            <w:vAlign w:val="center"/>
          </w:tcPr>
          <w:p>
            <w:r>
              <w:rPr>
                <w:b w:val="false"/>
                <w:bCs w:val="false"/>
                <w:color w:val="000000"/>
                <w:sz w:val="18"/>
                <w:szCs w:val="18"/>
              </w:rPr>
              <w:t xml:space="preserve">4 jours</w:t>
            </w:r>
          </w:p>
        </w:tc>
      </w:tr>
      <w:tr>
        <w:tc>
          <w:tcPr>
            <w:tcW w:type="dxa" w:w="700"/>
            <w:vAlign w:val="center"/>
          </w:tcPr>
          <w:p>
            <w:r>
              <w:rPr>
                <w:b w:val="false"/>
                <w:bCs w:val="false"/>
                <w:color w:val="000000"/>
                <w:sz w:val="18"/>
                <w:szCs w:val="18"/>
              </w:rPr>
              <w:t xml:space="preserve">3.3</w:t>
            </w:r>
          </w:p>
        </w:tc>
        <w:tc>
          <w:tcPr>
            <w:tcW w:type="dxa" w:w="8140"/>
            <w:vAlign w:val="center"/>
          </w:tcPr>
          <w:p>
            <w:r>
              <w:rPr>
                <w:b w:val="false"/>
                <w:bCs w:val="false"/>
                <w:color w:val="000000"/>
                <w:sz w:val="18"/>
                <w:szCs w:val="18"/>
              </w:rPr>
              <w:t xml:space="preserve">En tant que Système, je dois calculer le seuil dynamique μ+3σ sur le jeu de validation et le sauvegarder (joblib) à côté du scaler.</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3.4</w:t>
            </w:r>
          </w:p>
        </w:tc>
        <w:tc>
          <w:tcPr>
            <w:tcW w:type="dxa" w:w="8140"/>
            <w:vAlign w:val="center"/>
          </w:tcPr>
          <w:p>
            <w:r>
              <w:rPr>
                <w:b w:val="false"/>
                <w:bCs w:val="false"/>
                <w:color w:val="000000"/>
                <w:sz w:val="18"/>
                <w:szCs w:val="18"/>
              </w:rPr>
              <w:t xml:space="preserve">En tant que Système, je dois exposer ce modèle via une API locale optimisée (chargement unique, warm-up, appel direct) pour une inférence &lt;15ms.</w:t>
            </w:r>
          </w:p>
        </w:tc>
        <w:tc>
          <w:tcPr>
            <w:tcW w:type="dxa" w:w="1400"/>
            <w:vAlign w:val="center"/>
          </w:tcPr>
          <w:p>
            <w:r>
              <w:rPr>
                <w:b w:val="false"/>
                <w:bCs w:val="false"/>
                <w:color w:val="000000"/>
                <w:sz w:val="18"/>
                <w:szCs w:val="18"/>
              </w:rPr>
              <w:t xml:space="preserve">2 jours</w:t>
            </w:r>
          </w:p>
        </w:tc>
      </w:tr>
    </w:tbl>
    <w:p>
      <w:pPr>
        <w:pStyle w:val="Heading2"/>
        <w:spacing w:after="150" w:before="300"/>
      </w:pPr>
      <w:r>
        <w:t xml:space="preserve">Release 2 — Prévention</w:t>
      </w:r>
    </w:p>
    <w:p>
      <w:pPr>
        <w:pStyle w:val="Heading3"/>
        <w:spacing w:after="100" w:before="200"/>
      </w:pPr>
      <w:r>
        <w:t xml:space="preserve">Sprint 4 : Orchestrateur SOAR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4.1</w:t>
            </w:r>
          </w:p>
        </w:tc>
        <w:tc>
          <w:tcPr>
            <w:tcW w:type="dxa" w:w="8140"/>
            <w:vAlign w:val="center"/>
          </w:tcPr>
          <w:p>
            <w:r>
              <w:rPr>
                <w:b w:val="false"/>
                <w:bCs w:val="false"/>
                <w:color w:val="000000"/>
                <w:sz w:val="18"/>
                <w:szCs w:val="18"/>
              </w:rPr>
              <w:t xml:space="preserve">En tant que Moteur SOAR, je dois consolider les alertes déterministes (Suricata) et probabilistes (MSE) pour déclencher un playbook de sécurité.</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4.2</w:t>
            </w:r>
          </w:p>
        </w:tc>
        <w:tc>
          <w:tcPr>
            <w:tcW w:type="dxa" w:w="8140"/>
            <w:vAlign w:val="center"/>
          </w:tcPr>
          <w:p>
            <w:r>
              <w:rPr>
                <w:b w:val="false"/>
                <w:bCs w:val="false"/>
                <w:color w:val="000000"/>
                <w:sz w:val="18"/>
                <w:szCs w:val="18"/>
              </w:rPr>
              <w:t xml:space="preserve">En tant que Système, je dois interagir avec iptables pour isoler instantanément l'IP malveillante détectée.</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4.3</w:t>
            </w:r>
          </w:p>
        </w:tc>
        <w:tc>
          <w:tcPr>
            <w:tcW w:type="dxa" w:w="8140"/>
            <w:vAlign w:val="center"/>
          </w:tcPr>
          <w:p>
            <w:r>
              <w:rPr>
                <w:b w:val="false"/>
                <w:bCs w:val="false"/>
                <w:color w:val="000000"/>
                <w:sz w:val="18"/>
                <w:szCs w:val="18"/>
              </w:rPr>
              <w:t xml:space="preserve">En tant que SOAR, je dois vérifier l'IP ciblée contre la liste d'actifs critiques avant toute exécution de blocage.</w:t>
            </w:r>
          </w:p>
        </w:tc>
        <w:tc>
          <w:tcPr>
            <w:tcW w:type="dxa" w:w="1400"/>
            <w:vAlign w:val="center"/>
          </w:tcPr>
          <w:p>
            <w:r>
              <w:rPr>
                <w:b w:val="false"/>
                <w:bCs w:val="false"/>
                <w:color w:val="000000"/>
                <w:sz w:val="18"/>
                <w:szCs w:val="18"/>
              </w:rPr>
              <w:t xml:space="preserve">2 jours</w:t>
            </w:r>
          </w:p>
        </w:tc>
      </w:tr>
    </w:tbl>
    <w:p>
      <w:pPr>
        <w:pStyle w:val="Heading3"/>
        <w:spacing w:after="100" w:before="200"/>
      </w:pPr>
      <w:r>
        <w:t xml:space="preserve">Sprint 5 : Bridge Agent IA (Ollama)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5.1</w:t>
            </w:r>
          </w:p>
        </w:tc>
        <w:tc>
          <w:tcPr>
            <w:tcW w:type="dxa" w:w="8140"/>
            <w:vAlign w:val="center"/>
          </w:tcPr>
          <w:p>
            <w:r>
              <w:rPr>
                <w:b w:val="false"/>
                <w:bCs w:val="false"/>
                <w:color w:val="000000"/>
                <w:sz w:val="18"/>
                <w:szCs w:val="18"/>
              </w:rPr>
              <w:t xml:space="preserve">En tant que SOAR, je dois transmettre un payload JSON (IP, MSE, métriques) à l'Agent IA de manière asynchrone, sans bloquer la décision de blocage.</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5.2</w:t>
            </w:r>
          </w:p>
        </w:tc>
        <w:tc>
          <w:tcPr>
            <w:tcW w:type="dxa" w:w="8140"/>
            <w:vAlign w:val="center"/>
          </w:tcPr>
          <w:p>
            <w:r>
              <w:rPr>
                <w:b w:val="false"/>
                <w:bCs w:val="false"/>
                <w:color w:val="000000"/>
                <w:sz w:val="18"/>
                <w:szCs w:val="18"/>
              </w:rPr>
              <w:t xml:space="preserve">En tant qu'Agent IA, je dois interroger l'API locale Ollama (Llama3, version quantifiée) pour interpréter sémantiquement l'anomalie.</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5.3</w:t>
            </w:r>
          </w:p>
        </w:tc>
        <w:tc>
          <w:tcPr>
            <w:tcW w:type="dxa" w:w="8140"/>
            <w:vAlign w:val="center"/>
          </w:tcPr>
          <w:p>
            <w:r>
              <w:rPr>
                <w:b w:val="false"/>
                <w:bCs w:val="false"/>
                <w:color w:val="000000"/>
                <w:sz w:val="18"/>
                <w:szCs w:val="18"/>
              </w:rPr>
              <w:t xml:space="preserve">En tant que Système, je dois valider strictement (regex, whitelist) toute règle générée par le LLM avant exécution.</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5.4</w:t>
            </w:r>
          </w:p>
        </w:tc>
        <w:tc>
          <w:tcPr>
            <w:tcW w:type="dxa" w:w="8140"/>
            <w:vAlign w:val="center"/>
          </w:tcPr>
          <w:p>
            <w:r>
              <w:rPr>
                <w:b w:val="false"/>
                <w:bCs w:val="false"/>
                <w:color w:val="000000"/>
                <w:sz w:val="18"/>
                <w:szCs w:val="18"/>
              </w:rPr>
              <w:t xml:space="preserve">En tant qu'Agent IA, je dois rédiger et horodater un rapport d'incident SOC structuré.</w:t>
            </w:r>
          </w:p>
        </w:tc>
        <w:tc>
          <w:tcPr>
            <w:tcW w:type="dxa" w:w="1400"/>
            <w:vAlign w:val="center"/>
          </w:tcPr>
          <w:p>
            <w:r>
              <w:rPr>
                <w:b w:val="false"/>
                <w:bCs w:val="false"/>
                <w:color w:val="000000"/>
                <w:sz w:val="18"/>
                <w:szCs w:val="18"/>
              </w:rPr>
              <w:t xml:space="preserve">2 jours</w:t>
            </w:r>
          </w:p>
        </w:tc>
      </w:tr>
    </w:tbl>
    <w:p>
      <w:pPr>
        <w:pStyle w:val="Heading3"/>
        <w:spacing w:after="100" w:before="200"/>
      </w:pPr>
      <w:r>
        <w:t xml:space="preserve">Sprint 6 : Gouvernance &amp; Human-in-the-Loop</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6.1</w:t>
            </w:r>
          </w:p>
        </w:tc>
        <w:tc>
          <w:tcPr>
            <w:tcW w:type="dxa" w:w="8140"/>
            <w:vAlign w:val="center"/>
          </w:tcPr>
          <w:p>
            <w:r>
              <w:rPr>
                <w:b w:val="false"/>
                <w:bCs w:val="false"/>
                <w:color w:val="000000"/>
                <w:sz w:val="18"/>
                <w:szCs w:val="18"/>
              </w:rPr>
              <w:t xml:space="preserve">En tant qu'Administrateur, je dois définir une liste d'actifs critiques ne pouvant jamais être bloqués automatiquement.</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6.2</w:t>
            </w:r>
          </w:p>
        </w:tc>
        <w:tc>
          <w:tcPr>
            <w:tcW w:type="dxa" w:w="8140"/>
            <w:vAlign w:val="center"/>
          </w:tcPr>
          <w:p>
            <w:r>
              <w:rPr>
                <w:b w:val="false"/>
                <w:bCs w:val="false"/>
                <w:color w:val="000000"/>
                <w:sz w:val="18"/>
                <w:szCs w:val="18"/>
              </w:rPr>
              <w:t xml:space="preserve">En tant que SOAR, je dois soumettre une demande d'approbation à l'admin avant toute action sur un actif critique, avec timeout configurable.</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6.3</w:t>
            </w:r>
          </w:p>
        </w:tc>
        <w:tc>
          <w:tcPr>
            <w:tcW w:type="dxa" w:w="8140"/>
            <w:vAlign w:val="center"/>
          </w:tcPr>
          <w:p>
            <w:r>
              <w:rPr>
                <w:b w:val="false"/>
                <w:bCs w:val="false"/>
                <w:color w:val="000000"/>
                <w:sz w:val="18"/>
                <w:szCs w:val="18"/>
              </w:rPr>
              <w:t xml:space="preserve">En tant que Système, je dois journaliser chaque décision (automatique ou manuelle) dans un log d'audit immuable.</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6.4</w:t>
            </w:r>
          </w:p>
        </w:tc>
        <w:tc>
          <w:tcPr>
            <w:tcW w:type="dxa" w:w="8140"/>
            <w:vAlign w:val="center"/>
          </w:tcPr>
          <w:p>
            <w:r>
              <w:rPr>
                <w:b w:val="false"/>
                <w:bCs w:val="false"/>
                <w:color w:val="000000"/>
                <w:sz w:val="18"/>
                <w:szCs w:val="18"/>
              </w:rPr>
              <w:t xml:space="preserve">En tant qu'Administrateur, je dois valider ou rejeter un nouveau modèle (Champion/Challenger) via un rapport de performance avant mise en production.</w:t>
            </w:r>
          </w:p>
        </w:tc>
        <w:tc>
          <w:tcPr>
            <w:tcW w:type="dxa" w:w="1400"/>
            <w:vAlign w:val="center"/>
          </w:tcPr>
          <w:p>
            <w:r>
              <w:rPr>
                <w:b w:val="false"/>
                <w:bCs w:val="false"/>
                <w:color w:val="000000"/>
                <w:sz w:val="18"/>
                <w:szCs w:val="18"/>
              </w:rPr>
              <w:t xml:space="preserve">3 jours</w:t>
            </w:r>
          </w:p>
        </w:tc>
      </w:tr>
    </w:tbl>
    <w:p>
      <w:pPr>
        <w:pStyle w:val="Heading2"/>
        <w:spacing w:after="150" w:before="300"/>
      </w:pPr>
      <w:r>
        <w:t xml:space="preserve">Release 3 — Anticipation &amp; Résilience</w:t>
      </w:r>
    </w:p>
    <w:p>
      <w:pPr>
        <w:pStyle w:val="Heading3"/>
        <w:spacing w:after="100" w:before="200"/>
      </w:pPr>
      <w:r>
        <w:t xml:space="preserve">Sprint 7 : Agent CTI</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7.1</w:t>
            </w:r>
          </w:p>
        </w:tc>
        <w:tc>
          <w:tcPr>
            <w:tcW w:type="dxa" w:w="8140"/>
            <w:vAlign w:val="center"/>
          </w:tcPr>
          <w:p>
            <w:r>
              <w:rPr>
                <w:b w:val="false"/>
                <w:bCs w:val="false"/>
                <w:color w:val="000000"/>
                <w:sz w:val="18"/>
                <w:szCs w:val="18"/>
              </w:rPr>
              <w:t xml:space="preserve">En tant qu'Agent CTI, je dois collecter périodiquement l'actualité cyber depuis des sources fiables (CVE/NVD, CERT, advisories).</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7.2</w:t>
            </w:r>
          </w:p>
        </w:tc>
        <w:tc>
          <w:tcPr>
            <w:tcW w:type="dxa" w:w="8140"/>
            <w:vAlign w:val="center"/>
          </w:tcPr>
          <w:p>
            <w:r>
              <w:rPr>
                <w:b w:val="false"/>
                <w:bCs w:val="false"/>
                <w:color w:val="000000"/>
                <w:sz w:val="18"/>
                <w:szCs w:val="18"/>
              </w:rPr>
              <w:t xml:space="preserve">En tant qu'Agent CTI, je dois filtrer et classifier la pertinence d'une information (technologie concernée, criticité).</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7.3</w:t>
            </w:r>
          </w:p>
        </w:tc>
        <w:tc>
          <w:tcPr>
            <w:tcW w:type="dxa" w:w="8140"/>
            <w:vAlign w:val="center"/>
          </w:tcPr>
          <w:p>
            <w:r>
              <w:rPr>
                <w:b w:val="false"/>
                <w:bCs w:val="false"/>
                <w:color w:val="000000"/>
                <w:sz w:val="18"/>
                <w:szCs w:val="18"/>
              </w:rPr>
              <w:t xml:space="preserve">En tant que Système, je dois alimenter et enrichir la Threat DB locale à partir des informations validées.</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7.4</w:t>
            </w:r>
          </w:p>
        </w:tc>
        <w:tc>
          <w:tcPr>
            <w:tcW w:type="dxa" w:w="8140"/>
            <w:vAlign w:val="center"/>
          </w:tcPr>
          <w:p>
            <w:r>
              <w:rPr>
                <w:b w:val="false"/>
                <w:bCs w:val="false"/>
                <w:color w:val="000000"/>
                <w:sz w:val="18"/>
                <w:szCs w:val="18"/>
              </w:rPr>
              <w:t xml:space="preserve">En tant qu'Agent CTI, je dois proposer une mise à jour des règles Suricata à partir des nouveaux IOCs.</w:t>
            </w:r>
          </w:p>
        </w:tc>
        <w:tc>
          <w:tcPr>
            <w:tcW w:type="dxa" w:w="1400"/>
            <w:vAlign w:val="center"/>
          </w:tcPr>
          <w:p>
            <w:r>
              <w:rPr>
                <w:b w:val="false"/>
                <w:bCs w:val="false"/>
                <w:color w:val="000000"/>
                <w:sz w:val="18"/>
                <w:szCs w:val="18"/>
              </w:rPr>
              <w:t xml:space="preserve">2 jours</w:t>
            </w:r>
          </w:p>
        </w:tc>
      </w:tr>
    </w:tbl>
    <w:p>
      <w:pPr>
        <w:pStyle w:val="Heading3"/>
        <w:spacing w:after="100" w:before="200"/>
      </w:pPr>
      <w:r>
        <w:t xml:space="preserve">Sprint 8 : Agent Formation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8.1</w:t>
            </w:r>
          </w:p>
        </w:tc>
        <w:tc>
          <w:tcPr>
            <w:tcW w:type="dxa" w:w="8140"/>
            <w:vAlign w:val="center"/>
          </w:tcPr>
          <w:p>
            <w:r>
              <w:rPr>
                <w:b w:val="false"/>
                <w:bCs w:val="false"/>
                <w:color w:val="000000"/>
                <w:sz w:val="18"/>
                <w:szCs w:val="18"/>
              </w:rPr>
              <w:t xml:space="preserve">En tant qu'Agent Formation, je dois identifier le profil de l'audience concernée par une menace (global ou équipe technique spécifique).</w:t>
            </w:r>
          </w:p>
        </w:tc>
        <w:tc>
          <w:tcPr>
            <w:tcW w:type="dxa" w:w="1400"/>
            <w:vAlign w:val="center"/>
          </w:tcPr>
          <w:p>
            <w:r>
              <w:rPr>
                <w:b w:val="false"/>
                <w:bCs w:val="false"/>
                <w:color w:val="000000"/>
                <w:sz w:val="18"/>
                <w:szCs w:val="18"/>
              </w:rPr>
              <w:t xml:space="preserve">2 jours</w:t>
            </w:r>
          </w:p>
        </w:tc>
      </w:tr>
      <w:tr>
        <w:tc>
          <w:tcPr>
            <w:tcW w:type="dxa" w:w="700"/>
            <w:vAlign w:val="center"/>
          </w:tcPr>
          <w:p>
            <w:r>
              <w:rPr>
                <w:b w:val="false"/>
                <w:bCs w:val="false"/>
                <w:color w:val="000000"/>
                <w:sz w:val="18"/>
                <w:szCs w:val="18"/>
              </w:rPr>
              <w:t xml:space="preserve">8.2</w:t>
            </w:r>
          </w:p>
        </w:tc>
        <w:tc>
          <w:tcPr>
            <w:tcW w:type="dxa" w:w="8140"/>
            <w:vAlign w:val="center"/>
          </w:tcPr>
          <w:p>
            <w:r>
              <w:rPr>
                <w:b w:val="false"/>
                <w:bCs w:val="false"/>
                <w:color w:val="000000"/>
                <w:sz w:val="18"/>
                <w:szCs w:val="18"/>
              </w:rPr>
              <w:t xml:space="preserve">En tant qu'Agent Formation, je dois générer un contenu pédagogique contextualisé via le LLM local, adapté à l'audience.</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8.3</w:t>
            </w:r>
          </w:p>
        </w:tc>
        <w:tc>
          <w:tcPr>
            <w:tcW w:type="dxa" w:w="8140"/>
            <w:vAlign w:val="center"/>
          </w:tcPr>
          <w:p>
            <w:r>
              <w:rPr>
                <w:b w:val="false"/>
                <w:bCs w:val="false"/>
                <w:color w:val="000000"/>
                <w:sz w:val="18"/>
                <w:szCs w:val="18"/>
              </w:rPr>
              <w:t xml:space="preserve">En tant que Système, je dois diffuser la formation par le canal approprié selon le déclencheur (proactif ou réactif).</w:t>
            </w:r>
          </w:p>
        </w:tc>
        <w:tc>
          <w:tcPr>
            <w:tcW w:type="dxa" w:w="1400"/>
            <w:vAlign w:val="center"/>
          </w:tcPr>
          <w:p>
            <w:r>
              <w:rPr>
                <w:b w:val="false"/>
                <w:bCs w:val="false"/>
                <w:color w:val="000000"/>
                <w:sz w:val="18"/>
                <w:szCs w:val="18"/>
              </w:rPr>
              <w:t xml:space="preserve">2 jours</w:t>
            </w:r>
          </w:p>
        </w:tc>
      </w:tr>
    </w:tbl>
    <w:p>
      <w:pPr>
        <w:pStyle w:val="Heading3"/>
        <w:spacing w:after="100" w:before="200"/>
      </w:pPr>
      <w:r>
        <w:t xml:space="preserve">Sprint 9 : Industrialisation MLOps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8140"/>
        <w:gridCol w:w="1400"/>
      </w:tblGrid>
      <w:tr>
        <w:tc>
          <w:tcPr>
            <w:tcW w:type="dxa" w:w="700"/>
            <w:shd w:fill="1F3864" w:val="clear"/>
            <w:vAlign w:val="center"/>
          </w:tcPr>
          <w:p>
            <w:r>
              <w:rPr>
                <w:b/>
                <w:bCs/>
                <w:color w:val="FFFFFF"/>
                <w:sz w:val="18"/>
                <w:szCs w:val="18"/>
              </w:rPr>
              <w:t xml:space="preserve">ID</w:t>
            </w:r>
          </w:p>
        </w:tc>
        <w:tc>
          <w:tcPr>
            <w:tcW w:type="dxa" w:w="8140"/>
            <w:shd w:fill="1F3864" w:val="clear"/>
            <w:vAlign w:val="center"/>
          </w:tcPr>
          <w:p>
            <w:r>
              <w:rPr>
                <w:b/>
                <w:bCs/>
                <w:color w:val="FFFFFF"/>
                <w:sz w:val="18"/>
                <w:szCs w:val="18"/>
              </w:rPr>
              <w:t xml:space="preserve">User Story (System Story)</w:t>
            </w:r>
          </w:p>
        </w:tc>
        <w:tc>
          <w:tcPr>
            <w:tcW w:type="dxa" w:w="1400"/>
            <w:shd w:fill="1F3864" w:val="clear"/>
            <w:vAlign w:val="center"/>
          </w:tcPr>
          <w:p>
            <w:r>
              <w:rPr>
                <w:b/>
                <w:bCs/>
                <w:color w:val="FFFFFF"/>
                <w:sz w:val="18"/>
                <w:szCs w:val="18"/>
              </w:rPr>
              <w:t xml:space="preserve">Période</w:t>
            </w:r>
          </w:p>
        </w:tc>
      </w:tr>
      <w:tr>
        <w:tc>
          <w:tcPr>
            <w:tcW w:type="dxa" w:w="700"/>
            <w:vAlign w:val="center"/>
          </w:tcPr>
          <w:p>
            <w:r>
              <w:rPr>
                <w:b w:val="false"/>
                <w:bCs w:val="false"/>
                <w:color w:val="000000"/>
                <w:sz w:val="18"/>
                <w:szCs w:val="18"/>
              </w:rPr>
              <w:t xml:space="preserve">9.1</w:t>
            </w:r>
          </w:p>
        </w:tc>
        <w:tc>
          <w:tcPr>
            <w:tcW w:type="dxa" w:w="8140"/>
            <w:vAlign w:val="center"/>
          </w:tcPr>
          <w:p>
            <w:r>
              <w:rPr>
                <w:b w:val="false"/>
                <w:bCs w:val="false"/>
                <w:color w:val="000000"/>
                <w:sz w:val="18"/>
                <w:szCs w:val="18"/>
              </w:rPr>
              <w:t xml:space="preserve">En tant qu'Architecte, je dois conteneuriser chaque composant selon 4 réseaux Docker isolés (Edge, ML, Réponse, Veille).</w:t>
            </w:r>
          </w:p>
        </w:tc>
        <w:tc>
          <w:tcPr>
            <w:tcW w:type="dxa" w:w="1400"/>
            <w:vAlign w:val="center"/>
          </w:tcPr>
          <w:p>
            <w:r>
              <w:rPr>
                <w:b w:val="false"/>
                <w:bCs w:val="false"/>
                <w:color w:val="000000"/>
                <w:sz w:val="18"/>
                <w:szCs w:val="18"/>
              </w:rPr>
              <w:t xml:space="preserve">3 jours</w:t>
            </w:r>
          </w:p>
        </w:tc>
      </w:tr>
      <w:tr>
        <w:tc>
          <w:tcPr>
            <w:tcW w:type="dxa" w:w="700"/>
            <w:vAlign w:val="center"/>
          </w:tcPr>
          <w:p>
            <w:r>
              <w:rPr>
                <w:b w:val="false"/>
                <w:bCs w:val="false"/>
                <w:color w:val="000000"/>
                <w:sz w:val="18"/>
                <w:szCs w:val="18"/>
              </w:rPr>
              <w:t xml:space="preserve">9.2</w:t>
            </w:r>
          </w:p>
        </w:tc>
        <w:tc>
          <w:tcPr>
            <w:tcW w:type="dxa" w:w="8140"/>
            <w:vAlign w:val="center"/>
          </w:tcPr>
          <w:p>
            <w:r>
              <w:rPr>
                <w:b w:val="false"/>
                <w:bCs w:val="false"/>
                <w:color w:val="000000"/>
                <w:sz w:val="18"/>
                <w:szCs w:val="18"/>
              </w:rPr>
              <w:t xml:space="preserve">En tant que Système, je dois partager le modèle entraîné (.h5/.pkl) entre conteneurs via un volume Docker nommé.</w:t>
            </w:r>
          </w:p>
        </w:tc>
        <w:tc>
          <w:tcPr>
            <w:tcW w:type="dxa" w:w="1400"/>
            <w:vAlign w:val="center"/>
          </w:tcPr>
          <w:p>
            <w:r>
              <w:rPr>
                <w:b w:val="false"/>
                <w:bCs w:val="false"/>
                <w:color w:val="000000"/>
                <w:sz w:val="18"/>
                <w:szCs w:val="18"/>
              </w:rPr>
              <w:t xml:space="preserve">1 jour</w:t>
            </w:r>
          </w:p>
        </w:tc>
      </w:tr>
      <w:tr>
        <w:tc>
          <w:tcPr>
            <w:tcW w:type="dxa" w:w="700"/>
            <w:vAlign w:val="center"/>
          </w:tcPr>
          <w:p>
            <w:r>
              <w:rPr>
                <w:b w:val="false"/>
                <w:bCs w:val="false"/>
                <w:color w:val="000000"/>
                <w:sz w:val="18"/>
                <w:szCs w:val="18"/>
              </w:rPr>
              <w:t xml:space="preserve">9.3</w:t>
            </w:r>
          </w:p>
        </w:tc>
        <w:tc>
          <w:tcPr>
            <w:tcW w:type="dxa" w:w="8140"/>
            <w:vAlign w:val="center"/>
          </w:tcPr>
          <w:p>
            <w:r>
              <w:rPr>
                <w:b w:val="false"/>
                <w:bCs w:val="false"/>
                <w:color w:val="000000"/>
                <w:sz w:val="18"/>
                <w:szCs w:val="18"/>
              </w:rPr>
              <w:t xml:space="preserve">En tant que Pipeline MLOps, je dois générer automatiquement un rapport de comparaison Champion/Challenger avant tout remplacement de modèle.</w:t>
            </w:r>
          </w:p>
        </w:tc>
        <w:tc>
          <w:tcPr>
            <w:tcW w:type="dxa" w:w="1400"/>
            <w:vAlign w:val="center"/>
          </w:tcPr>
          <w:p>
            <w:r>
              <w:rPr>
                <w:b w:val="false"/>
                <w:bCs w:val="false"/>
                <w:color w:val="000000"/>
                <w:sz w:val="18"/>
                <w:szCs w:val="18"/>
              </w:rPr>
              <w:t xml:space="preserve">3 jours</w:t>
            </w:r>
          </w:p>
        </w:tc>
      </w:tr>
    </w:tbl>
    <w:p>
      <w:r>
        <w:br w:type="page"/>
      </w:r>
    </w:p>
    <w:p>
      <w:pPr>
        <w:pStyle w:val="Heading1"/>
        <w:spacing w:after="200" w:before="400"/>
      </w:pPr>
      <w:r>
        <w:t xml:space="preserve">9. Infrastructure (répartition des VMs)</w:t>
      </w:r>
    </w:p>
    <w:p>
      <w:pPr>
        <w:spacing w:after="120"/>
      </w:pPr>
      <w:r>
        <w:t xml:space="preserve">Split recommandé sur un hyperviseur unique (laptop 24 Go RAM / 512 Go SSD), avec une marge réservée à l'hôte.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900"/>
        <w:gridCol w:w="900"/>
        <w:gridCol w:w="1200"/>
      </w:tblGrid>
      <w:tr>
        <w:tc>
          <w:tcPr>
            <w:tcW w:type="dxa" w:w="1800"/>
            <w:shd w:fill="1F3864" w:val="clear"/>
            <w:vAlign w:val="center"/>
          </w:tcPr>
          <w:p>
            <w:r>
              <w:rPr>
                <w:b/>
                <w:bCs/>
                <w:color w:val="FFFFFF"/>
                <w:sz w:val="18"/>
                <w:szCs w:val="18"/>
              </w:rPr>
              <w:t xml:space="preserve">VM</w:t>
            </w:r>
          </w:p>
        </w:tc>
        <w:tc>
          <w:tcPr>
            <w:tcW w:type="dxa" w:w="4200"/>
            <w:shd w:fill="1F3864" w:val="clear"/>
            <w:vAlign w:val="center"/>
          </w:tcPr>
          <w:p>
            <w:r>
              <w:rPr>
                <w:b/>
                <w:bCs/>
                <w:color w:val="FFFFFF"/>
                <w:sz w:val="18"/>
                <w:szCs w:val="18"/>
              </w:rPr>
              <w:t xml:space="preserve">Rôle</w:t>
            </w:r>
          </w:p>
        </w:tc>
        <w:tc>
          <w:tcPr>
            <w:tcW w:type="dxa" w:w="900"/>
            <w:shd w:fill="1F3864" w:val="clear"/>
            <w:vAlign w:val="center"/>
          </w:tcPr>
          <w:p>
            <w:r>
              <w:rPr>
                <w:b/>
                <w:bCs/>
                <w:color w:val="FFFFFF"/>
                <w:sz w:val="18"/>
                <w:szCs w:val="18"/>
              </w:rPr>
              <w:t xml:space="preserve">vCPU</w:t>
            </w:r>
          </w:p>
        </w:tc>
        <w:tc>
          <w:tcPr>
            <w:tcW w:type="dxa" w:w="900"/>
            <w:shd w:fill="1F3864" w:val="clear"/>
            <w:vAlign w:val="center"/>
          </w:tcPr>
          <w:p>
            <w:r>
              <w:rPr>
                <w:b/>
                <w:bCs/>
                <w:color w:val="FFFFFF"/>
                <w:sz w:val="18"/>
                <w:szCs w:val="18"/>
              </w:rPr>
              <w:t xml:space="preserve">RAM</w:t>
            </w:r>
          </w:p>
        </w:tc>
        <w:tc>
          <w:tcPr>
            <w:tcW w:type="dxa" w:w="1200"/>
            <w:shd w:fill="1F3864" w:val="clear"/>
            <w:vAlign w:val="center"/>
          </w:tcPr>
          <w:p>
            <w:r>
              <w:rPr>
                <w:b/>
                <w:bCs/>
                <w:color w:val="FFFFFF"/>
                <w:sz w:val="18"/>
                <w:szCs w:val="18"/>
              </w:rPr>
              <w:t xml:space="preserve">Disque</w:t>
            </w:r>
          </w:p>
        </w:tc>
      </w:tr>
      <w:tr>
        <w:tc>
          <w:tcPr>
            <w:tcW w:type="dxa" w:w="1800"/>
            <w:vAlign w:val="center"/>
          </w:tcPr>
          <w:p>
            <w:r>
              <w:rPr>
                <w:b w:val="false"/>
                <w:bCs w:val="false"/>
                <w:color w:val="000000"/>
                <w:sz w:val="18"/>
                <w:szCs w:val="18"/>
              </w:rPr>
              <w:t xml:space="preserve">VM-Edge</w:t>
            </w:r>
          </w:p>
        </w:tc>
        <w:tc>
          <w:tcPr>
            <w:tcW w:type="dxa" w:w="4200"/>
            <w:vAlign w:val="center"/>
          </w:tcPr>
          <w:p>
            <w:r>
              <w:rPr>
                <w:b w:val="false"/>
                <w:bCs w:val="false"/>
                <w:color w:val="000000"/>
                <w:sz w:val="18"/>
                <w:szCs w:val="18"/>
              </w:rPr>
              <w:t xml:space="preserve">Suricata + edge collector (producer Kafka)</w:t>
            </w:r>
          </w:p>
        </w:tc>
        <w:tc>
          <w:tcPr>
            <w:tcW w:type="dxa" w:w="900"/>
            <w:vAlign w:val="center"/>
          </w:tcPr>
          <w:p>
            <w:r>
              <w:rPr>
                <w:b w:val="false"/>
                <w:bCs w:val="false"/>
                <w:color w:val="000000"/>
                <w:sz w:val="18"/>
                <w:szCs w:val="18"/>
              </w:rPr>
              <w:t xml:space="preserve">2</w:t>
            </w:r>
          </w:p>
        </w:tc>
        <w:tc>
          <w:tcPr>
            <w:tcW w:type="dxa" w:w="900"/>
            <w:vAlign w:val="center"/>
          </w:tcPr>
          <w:p>
            <w:r>
              <w:rPr>
                <w:b w:val="false"/>
                <w:bCs w:val="false"/>
                <w:color w:val="000000"/>
                <w:sz w:val="18"/>
                <w:szCs w:val="18"/>
              </w:rPr>
              <w:t xml:space="preserve">2 Go</w:t>
            </w:r>
          </w:p>
        </w:tc>
        <w:tc>
          <w:tcPr>
            <w:tcW w:type="dxa" w:w="1200"/>
            <w:vAlign w:val="center"/>
          </w:tcPr>
          <w:p>
            <w:r>
              <w:rPr>
                <w:b w:val="false"/>
                <w:bCs w:val="false"/>
                <w:color w:val="000000"/>
                <w:sz w:val="18"/>
                <w:szCs w:val="18"/>
              </w:rPr>
              <w:t xml:space="preserve">20 Go</w:t>
            </w:r>
          </w:p>
        </w:tc>
      </w:tr>
      <w:tr>
        <w:tc>
          <w:tcPr>
            <w:tcW w:type="dxa" w:w="1800"/>
            <w:vAlign w:val="center"/>
          </w:tcPr>
          <w:p>
            <w:r>
              <w:rPr>
                <w:b w:val="false"/>
                <w:bCs w:val="false"/>
                <w:color w:val="000000"/>
                <w:sz w:val="18"/>
                <w:szCs w:val="18"/>
              </w:rPr>
              <w:t xml:space="preserve">VM-ML</w:t>
            </w:r>
          </w:p>
        </w:tc>
        <w:tc>
          <w:tcPr>
            <w:tcW w:type="dxa" w:w="4200"/>
            <w:vAlign w:val="center"/>
          </w:tcPr>
          <w:p>
            <w:r>
              <w:rPr>
                <w:b w:val="false"/>
                <w:bCs w:val="false"/>
                <w:color w:val="000000"/>
                <w:sz w:val="18"/>
                <w:szCs w:val="18"/>
              </w:rPr>
              <w:t xml:space="preserve">Kafka + Zookeeper, realtime-interface (LSTM-VAE), ELK (heap réduit)</w:t>
            </w:r>
          </w:p>
        </w:tc>
        <w:tc>
          <w:tcPr>
            <w:tcW w:type="dxa" w:w="900"/>
            <w:vAlign w:val="center"/>
          </w:tcPr>
          <w:p>
            <w:r>
              <w:rPr>
                <w:b w:val="false"/>
                <w:bCs w:val="false"/>
                <w:color w:val="000000"/>
                <w:sz w:val="18"/>
                <w:szCs w:val="18"/>
              </w:rPr>
              <w:t xml:space="preserve">4</w:t>
            </w:r>
          </w:p>
        </w:tc>
        <w:tc>
          <w:tcPr>
            <w:tcW w:type="dxa" w:w="900"/>
            <w:vAlign w:val="center"/>
          </w:tcPr>
          <w:p>
            <w:r>
              <w:rPr>
                <w:b w:val="false"/>
                <w:bCs w:val="false"/>
                <w:color w:val="000000"/>
                <w:sz w:val="18"/>
                <w:szCs w:val="18"/>
              </w:rPr>
              <w:t xml:space="preserve">6 Go</w:t>
            </w:r>
          </w:p>
        </w:tc>
        <w:tc>
          <w:tcPr>
            <w:tcW w:type="dxa" w:w="1200"/>
            <w:vAlign w:val="center"/>
          </w:tcPr>
          <w:p>
            <w:r>
              <w:rPr>
                <w:b w:val="false"/>
                <w:bCs w:val="false"/>
                <w:color w:val="000000"/>
                <w:sz w:val="18"/>
                <w:szCs w:val="18"/>
              </w:rPr>
              <w:t xml:space="preserve">60 Go</w:t>
            </w:r>
          </w:p>
        </w:tc>
      </w:tr>
      <w:tr>
        <w:tc>
          <w:tcPr>
            <w:tcW w:type="dxa" w:w="1800"/>
            <w:vAlign w:val="center"/>
          </w:tcPr>
          <w:p>
            <w:r>
              <w:rPr>
                <w:b w:val="false"/>
                <w:bCs w:val="false"/>
                <w:color w:val="000000"/>
                <w:sz w:val="18"/>
                <w:szCs w:val="18"/>
              </w:rPr>
              <w:t xml:space="preserve">VM-Réponse</w:t>
            </w:r>
          </w:p>
        </w:tc>
        <w:tc>
          <w:tcPr>
            <w:tcW w:type="dxa" w:w="4200"/>
            <w:vAlign w:val="center"/>
          </w:tcPr>
          <w:p>
            <w:r>
              <w:rPr>
                <w:b w:val="false"/>
                <w:bCs w:val="false"/>
                <w:color w:val="000000"/>
                <w:sz w:val="18"/>
                <w:szCs w:val="18"/>
              </w:rPr>
              <w:t xml:space="preserve">SOAR, Ollama (Agent IA, modèle quantifié), dashboard admin</w:t>
            </w:r>
          </w:p>
        </w:tc>
        <w:tc>
          <w:tcPr>
            <w:tcW w:type="dxa" w:w="900"/>
            <w:vAlign w:val="center"/>
          </w:tcPr>
          <w:p>
            <w:r>
              <w:rPr>
                <w:b w:val="false"/>
                <w:bCs w:val="false"/>
                <w:color w:val="000000"/>
                <w:sz w:val="18"/>
                <w:szCs w:val="18"/>
              </w:rPr>
              <w:t xml:space="preserve">4</w:t>
            </w:r>
          </w:p>
        </w:tc>
        <w:tc>
          <w:tcPr>
            <w:tcW w:type="dxa" w:w="900"/>
            <w:vAlign w:val="center"/>
          </w:tcPr>
          <w:p>
            <w:r>
              <w:rPr>
                <w:b w:val="false"/>
                <w:bCs w:val="false"/>
                <w:color w:val="000000"/>
                <w:sz w:val="18"/>
                <w:szCs w:val="18"/>
              </w:rPr>
              <w:t xml:space="preserve">5 Go</w:t>
            </w:r>
          </w:p>
        </w:tc>
        <w:tc>
          <w:tcPr>
            <w:tcW w:type="dxa" w:w="1200"/>
            <w:vAlign w:val="center"/>
          </w:tcPr>
          <w:p>
            <w:r>
              <w:rPr>
                <w:b w:val="false"/>
                <w:bCs w:val="false"/>
                <w:color w:val="000000"/>
                <w:sz w:val="18"/>
                <w:szCs w:val="18"/>
              </w:rPr>
              <w:t xml:space="preserve">40 Go</w:t>
            </w:r>
          </w:p>
        </w:tc>
      </w:tr>
      <w:tr>
        <w:tc>
          <w:tcPr>
            <w:tcW w:type="dxa" w:w="1800"/>
            <w:vAlign w:val="center"/>
          </w:tcPr>
          <w:p>
            <w:r>
              <w:rPr>
                <w:b w:val="false"/>
                <w:bCs w:val="false"/>
                <w:color w:val="000000"/>
                <w:sz w:val="18"/>
                <w:szCs w:val="18"/>
              </w:rPr>
              <w:t xml:space="preserve">VM-CI/CD</w:t>
            </w:r>
          </w:p>
        </w:tc>
        <w:tc>
          <w:tcPr>
            <w:tcW w:type="dxa" w:w="4200"/>
            <w:vAlign w:val="center"/>
          </w:tcPr>
          <w:p>
            <w:r>
              <w:rPr>
                <w:b w:val="false"/>
                <w:bCs w:val="false"/>
                <w:color w:val="000000"/>
                <w:sz w:val="18"/>
                <w:szCs w:val="18"/>
              </w:rPr>
              <w:t xml:space="preserve">Pipeline de ré-entraînement Champion/Challenger</w:t>
            </w:r>
          </w:p>
        </w:tc>
        <w:tc>
          <w:tcPr>
            <w:tcW w:type="dxa" w:w="900"/>
            <w:vAlign w:val="center"/>
          </w:tcPr>
          <w:p>
            <w:r>
              <w:rPr>
                <w:b w:val="false"/>
                <w:bCs w:val="false"/>
                <w:color w:val="000000"/>
                <w:sz w:val="18"/>
                <w:szCs w:val="18"/>
              </w:rPr>
              <w:t xml:space="preserve">2</w:t>
            </w:r>
          </w:p>
        </w:tc>
        <w:tc>
          <w:tcPr>
            <w:tcW w:type="dxa" w:w="900"/>
            <w:vAlign w:val="center"/>
          </w:tcPr>
          <w:p>
            <w:r>
              <w:rPr>
                <w:b w:val="false"/>
                <w:bCs w:val="false"/>
                <w:color w:val="000000"/>
                <w:sz w:val="18"/>
                <w:szCs w:val="18"/>
              </w:rPr>
              <w:t xml:space="preserve">2 Go</w:t>
            </w:r>
          </w:p>
        </w:tc>
        <w:tc>
          <w:tcPr>
            <w:tcW w:type="dxa" w:w="1200"/>
            <w:vAlign w:val="center"/>
          </w:tcPr>
          <w:p>
            <w:r>
              <w:rPr>
                <w:b w:val="false"/>
                <w:bCs w:val="false"/>
                <w:color w:val="000000"/>
                <w:sz w:val="18"/>
                <w:szCs w:val="18"/>
              </w:rPr>
              <w:t xml:space="preserve">20 Go</w:t>
            </w:r>
          </w:p>
        </w:tc>
      </w:tr>
      <w:tr>
        <w:tc>
          <w:tcPr>
            <w:tcW w:type="dxa" w:w="1800"/>
            <w:vAlign w:val="center"/>
          </w:tcPr>
          <w:p>
            <w:r>
              <w:rPr>
                <w:b w:val="false"/>
                <w:bCs w:val="false"/>
                <w:color w:val="000000"/>
                <w:sz w:val="18"/>
                <w:szCs w:val="18"/>
              </w:rPr>
              <w:t xml:space="preserve">VM-Attaquant</w:t>
            </w:r>
          </w:p>
        </w:tc>
        <w:tc>
          <w:tcPr>
            <w:tcW w:type="dxa" w:w="4200"/>
            <w:vAlign w:val="center"/>
          </w:tcPr>
          <w:p>
            <w:r>
              <w:rPr>
                <w:b w:val="false"/>
                <w:bCs w:val="false"/>
                <w:color w:val="000000"/>
                <w:sz w:val="18"/>
                <w:szCs w:val="18"/>
              </w:rPr>
              <w:t xml:space="preserve">Kali Linux (hping3, nikto) — tests de validation</w:t>
            </w:r>
          </w:p>
        </w:tc>
        <w:tc>
          <w:tcPr>
            <w:tcW w:type="dxa" w:w="900"/>
            <w:vAlign w:val="center"/>
          </w:tcPr>
          <w:p>
            <w:r>
              <w:rPr>
                <w:b w:val="false"/>
                <w:bCs w:val="false"/>
                <w:color w:val="000000"/>
                <w:sz w:val="18"/>
                <w:szCs w:val="18"/>
              </w:rPr>
              <w:t xml:space="preserve">2</w:t>
            </w:r>
          </w:p>
        </w:tc>
        <w:tc>
          <w:tcPr>
            <w:tcW w:type="dxa" w:w="900"/>
            <w:vAlign w:val="center"/>
          </w:tcPr>
          <w:p>
            <w:r>
              <w:rPr>
                <w:b w:val="false"/>
                <w:bCs w:val="false"/>
                <w:color w:val="000000"/>
                <w:sz w:val="18"/>
                <w:szCs w:val="18"/>
              </w:rPr>
              <w:t xml:space="preserve">2 Go</w:t>
            </w:r>
          </w:p>
        </w:tc>
        <w:tc>
          <w:tcPr>
            <w:tcW w:type="dxa" w:w="1200"/>
            <w:vAlign w:val="center"/>
          </w:tcPr>
          <w:p>
            <w:r>
              <w:rPr>
                <w:b w:val="false"/>
                <w:bCs w:val="false"/>
                <w:color w:val="000000"/>
                <w:sz w:val="18"/>
                <w:szCs w:val="18"/>
              </w:rPr>
              <w:t xml:space="preserve">20 Go</w:t>
            </w:r>
          </w:p>
        </w:tc>
      </w:tr>
    </w:tbl>
    <w:p>
      <w:pPr>
        <w:spacing w:before="200"/>
      </w:pPr>
      <w:r>
        <w:rPr>
          <w:i/>
          <w:iCs/>
          <w:sz w:val="18"/>
          <w:szCs w:val="18"/>
        </w:rPr>
        <w:t xml:space="preserve">Total alloué : 14 vCPU, 17 Go RAM, 160 Go disque — marge hôte : ~7 Go RAM, ~350 Go disque.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2026-07-10T22:28:54.996Z</dcterms:created>
  <dcterms:modified xsi:type="dcterms:W3CDTF">2026-07-10T22:28:55.010Z</dcterms:modified>
</cp:coreProperties>
</file>

<file path=docProps/custom.xml><?xml version="1.0" encoding="utf-8"?>
<Properties xmlns="http://schemas.openxmlformats.org/officeDocument/2006/custom-properties" xmlns:vt="http://schemas.openxmlformats.org/officeDocument/2006/docPropsVTypes"/>
</file>