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D779D" w14:textId="77777777" w:rsidR="00766230" w:rsidRDefault="001D0C3B">
      <w:pPr>
        <w:pStyle w:val="1"/>
      </w:pPr>
      <w:r>
        <w:t>Dataset, Preprocessing Pipeline, and Initial Exploratory Analysis Report</w:t>
      </w:r>
    </w:p>
    <w:p w14:paraId="11D2AF49" w14:textId="77777777" w:rsidR="00766230" w:rsidRDefault="001D0C3B">
      <w:pPr>
        <w:pStyle w:val="21"/>
      </w:pPr>
      <w:r>
        <w:t>1. Datasets</w:t>
      </w:r>
    </w:p>
    <w:p w14:paraId="5A9B308D" w14:textId="77777777" w:rsidR="00766230" w:rsidRDefault="001D0C3B">
      <w:r>
        <w:t>DIV2K (images): Benchmark dataset containing ~800 high‑resolution (2K) images used for single-image super‑resolution.</w:t>
      </w:r>
      <w:r>
        <w:br/>
        <w:t xml:space="preserve">Vimeo90K (video): Large video dataset with </w:t>
      </w:r>
      <w:r>
        <w:t>high‑quality 7‑frame sequences suitable for temporal SR training.</w:t>
      </w:r>
      <w:r>
        <w:br/>
      </w:r>
      <w:r>
        <w:br/>
        <w:t>Gaze-Tracking Data (Optional): A small consent‑based dataset of gaze coordinates used to fine‑tune foveation behavior.</w:t>
      </w:r>
    </w:p>
    <w:p w14:paraId="0EA2716F" w14:textId="77777777" w:rsidR="00766230" w:rsidRDefault="001D0C3B">
      <w:pPr>
        <w:pStyle w:val="21"/>
      </w:pPr>
      <w:r>
        <w:t>2. Preprocessing Pipeline</w:t>
      </w:r>
    </w:p>
    <w:p w14:paraId="08E66B7F" w14:textId="77777777" w:rsidR="00766230" w:rsidRDefault="001D0C3B">
      <w:r>
        <w:t>Cleaning:</w:t>
      </w:r>
      <w:r>
        <w:br/>
        <w:t>• Remove corrupted images.</w:t>
      </w:r>
      <w:r>
        <w:br/>
        <w:t>• Norma</w:t>
      </w:r>
      <w:r>
        <w:t>lize RGB channels.</w:t>
      </w:r>
      <w:r>
        <w:br/>
        <w:t>• Standardize colorspace.</w:t>
      </w:r>
    </w:p>
    <w:p w14:paraId="0AB69525" w14:textId="77777777" w:rsidR="00766230" w:rsidRDefault="001D0C3B">
      <w:r>
        <w:t>Resolution Standardization:</w:t>
      </w:r>
      <w:r>
        <w:br/>
        <w:t>• HR→LR bicubic downsampling.</w:t>
      </w:r>
      <w:r>
        <w:br/>
        <w:t>• LR/HR crop‑pair generation (e.g., 128→256 px).</w:t>
      </w:r>
      <w:r>
        <w:br/>
        <w:t>• For video: consistent frame sizes, sequential extraction.</w:t>
      </w:r>
    </w:p>
    <w:p w14:paraId="19847427" w14:textId="77777777" w:rsidR="00766230" w:rsidRDefault="001D0C3B">
      <w:r>
        <w:t>Foveation Labels:</w:t>
      </w:r>
      <w:r>
        <w:br/>
        <w:t>• Synthetic gaze points.</w:t>
      </w:r>
      <w:r>
        <w:br/>
        <w:t>•</w:t>
      </w:r>
      <w:r>
        <w:t xml:space="preserve"> Gaussian/acuity-based foveal/peripheral masks.</w:t>
      </w:r>
      <w:r>
        <w:br/>
        <w:t>• Masks transformed during augmentations.</w:t>
      </w:r>
    </w:p>
    <w:p w14:paraId="0968A921" w14:textId="77777777" w:rsidR="00766230" w:rsidRDefault="001D0C3B">
      <w:r>
        <w:t>Augmentation:</w:t>
      </w:r>
      <w:r>
        <w:br/>
        <w:t>• Spatial: random crop, flip, small rotations.</w:t>
      </w:r>
      <w:r>
        <w:br/>
        <w:t>• Photometric: brightness/contrast jitter, compression noise.</w:t>
      </w:r>
      <w:r>
        <w:br/>
        <w:t>• Motion-aware blur for video.</w:t>
      </w:r>
    </w:p>
    <w:p w14:paraId="0F2D09DE" w14:textId="77777777" w:rsidR="00766230" w:rsidRDefault="001D0C3B">
      <w:pPr>
        <w:pStyle w:val="21"/>
      </w:pPr>
      <w:r>
        <w:t>3. Explorato</w:t>
      </w:r>
      <w:r>
        <w:t>ry Data Analysis (EDA)</w:t>
      </w:r>
    </w:p>
    <w:p w14:paraId="4DE049F0" w14:textId="77777777" w:rsidR="00766230" w:rsidRDefault="001D0C3B">
      <w:r>
        <w:t>Dataset Statistics:</w:t>
      </w:r>
      <w:r>
        <w:br/>
        <w:t>DIV2K: ~800 images, diverse scenes.</w:t>
      </w:r>
      <w:r>
        <w:br/>
        <w:t>Vimeo90K: 89k clips, motion-rich sequences.</w:t>
      </w:r>
    </w:p>
    <w:p w14:paraId="3081502F" w14:textId="77777777" w:rsidR="00766230" w:rsidRDefault="001D0C3B">
      <w:r>
        <w:t>Pixel Distribution:</w:t>
      </w:r>
      <w:r>
        <w:br/>
        <w:t>• RGB histograms.</w:t>
      </w:r>
      <w:r>
        <w:br/>
        <w:t>• Channel means/variances.</w:t>
      </w:r>
      <w:r>
        <w:br/>
        <w:t>• LR–HR baseline PSNR/SSIM.</w:t>
      </w:r>
    </w:p>
    <w:p w14:paraId="6BEDE64D" w14:textId="2A51E423" w:rsidR="00766230" w:rsidRDefault="001D0C3B">
      <w:r>
        <w:lastRenderedPageBreak/>
        <w:t>Foveation Map Analysis:</w:t>
      </w:r>
      <w:r>
        <w:br/>
        <w:t xml:space="preserve">• Foveal radius </w:t>
      </w:r>
      <w:r>
        <w:t>distribution.</w:t>
      </w:r>
      <w:r>
        <w:br/>
        <w:t xml:space="preserve">• </w:t>
      </w:r>
      <w:proofErr w:type="gramStart"/>
      <w:r>
        <w:t>Fovea:periphery</w:t>
      </w:r>
      <w:proofErr w:type="gramEnd"/>
      <w:r>
        <w:t xml:space="preserve"> pixel ratio.</w:t>
      </w:r>
      <w:r>
        <w:br/>
        <w:t>• Mask stability under augmentations.</w:t>
      </w:r>
    </w:p>
    <w:p w14:paraId="22A9DACC" w14:textId="693B93E8" w:rsidR="001D0C3B" w:rsidRDefault="001D0C3B"/>
    <w:p w14:paraId="2DA61648" w14:textId="57B18A51" w:rsidR="001D0C3B" w:rsidRDefault="001D0C3B"/>
    <w:p w14:paraId="51142E2D" w14:textId="0E3C4BA4" w:rsidR="001D0C3B" w:rsidRDefault="001D0C3B"/>
    <w:p w14:paraId="3A2E9D82" w14:textId="295D5048" w:rsidR="001D0C3B" w:rsidRDefault="001D0C3B"/>
    <w:p w14:paraId="7BDD9BA4" w14:textId="7FA8D956" w:rsidR="001D0C3B" w:rsidRDefault="001D0C3B"/>
    <w:p w14:paraId="0BA6B4B4" w14:textId="156F05A1" w:rsidR="001D0C3B" w:rsidRDefault="001D0C3B"/>
    <w:p w14:paraId="5F37B9B8" w14:textId="77DCA593" w:rsidR="001D0C3B" w:rsidRDefault="001D0C3B"/>
    <w:p w14:paraId="66C90185" w14:textId="484C34BE" w:rsidR="001D0C3B" w:rsidRDefault="001D0C3B"/>
    <w:p w14:paraId="736A1793" w14:textId="48174947" w:rsidR="001D0C3B" w:rsidRDefault="001D0C3B"/>
    <w:p w14:paraId="406311C5" w14:textId="77777777" w:rsidR="001D0C3B" w:rsidRDefault="001D0C3B"/>
    <w:p w14:paraId="20A8FFE7" w14:textId="7A70C1DC" w:rsidR="00766230" w:rsidRDefault="001D0C3B">
      <w:pPr>
        <w:pStyle w:val="21"/>
      </w:pPr>
      <w:r>
        <w:lastRenderedPageBreak/>
        <w:t>4. Example Visualizations</w:t>
      </w:r>
    </w:p>
    <w:p w14:paraId="0E6DF200" w14:textId="77777777" w:rsidR="00766230" w:rsidRDefault="001D0C3B">
      <w:pPr>
        <w:pStyle w:val="31"/>
      </w:pPr>
      <w:r>
        <w:t>LR vs HR Sample Pairs</w:t>
      </w:r>
    </w:p>
    <w:p w14:paraId="2AE99C81" w14:textId="77777777" w:rsidR="00766230" w:rsidRDefault="001D0C3B">
      <w:r>
        <w:rPr>
          <w:noProof/>
        </w:rPr>
        <w:drawing>
          <wp:inline distT="0" distB="0" distL="0" distR="0" wp14:anchorId="5E23CFA9" wp14:editId="1EE26A20">
            <wp:extent cx="36576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C4AC" w14:textId="77777777" w:rsidR="00766230" w:rsidRDefault="001D0C3B">
      <w:r>
        <w:rPr>
          <w:noProof/>
        </w:rPr>
        <w:drawing>
          <wp:inline distT="0" distB="0" distL="0" distR="0" wp14:anchorId="6F0E1E65" wp14:editId="0BB1018E">
            <wp:extent cx="36576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E316" w14:textId="77777777" w:rsidR="00766230" w:rsidRDefault="001D0C3B">
      <w:pPr>
        <w:pStyle w:val="31"/>
      </w:pPr>
      <w:r>
        <w:lastRenderedPageBreak/>
        <w:t>Gaze Point + Foveation Mask</w:t>
      </w:r>
    </w:p>
    <w:p w14:paraId="08728C5A" w14:textId="77777777" w:rsidR="00766230" w:rsidRDefault="001D0C3B">
      <w:r>
        <w:rPr>
          <w:noProof/>
        </w:rPr>
        <w:drawing>
          <wp:inline distT="0" distB="0" distL="0" distR="0" wp14:anchorId="2095579D" wp14:editId="1C4EF043">
            <wp:extent cx="365760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ze_mas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0581" w14:textId="77777777" w:rsidR="00766230" w:rsidRDefault="001D0C3B">
      <w:pPr>
        <w:pStyle w:val="31"/>
      </w:pPr>
      <w:r>
        <w:t>RGB Histograms</w:t>
      </w:r>
    </w:p>
    <w:p w14:paraId="7D02F12A" w14:textId="77777777" w:rsidR="00766230" w:rsidRDefault="001D0C3B">
      <w:r>
        <w:rPr>
          <w:noProof/>
        </w:rPr>
        <w:drawing>
          <wp:inline distT="0" distB="0" distL="0" distR="0" wp14:anchorId="1B640618" wp14:editId="674A92B2">
            <wp:extent cx="3657600" cy="21850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8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C726" w14:textId="77777777" w:rsidR="00766230" w:rsidRDefault="001D0C3B">
      <w:pPr>
        <w:pStyle w:val="31"/>
      </w:pPr>
      <w:r>
        <w:lastRenderedPageBreak/>
        <w:t>Entropy / Texture Heatmap</w:t>
      </w:r>
    </w:p>
    <w:p w14:paraId="6DE6F669" w14:textId="77777777" w:rsidR="00766230" w:rsidRDefault="001D0C3B">
      <w:r>
        <w:rPr>
          <w:noProof/>
        </w:rPr>
        <w:drawing>
          <wp:inline distT="0" distB="0" distL="0" distR="0" wp14:anchorId="32EA978C" wp14:editId="6CC4AA60">
            <wp:extent cx="365760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rop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12DA" w14:textId="77777777" w:rsidR="00766230" w:rsidRDefault="001D0C3B">
      <w:pPr>
        <w:pStyle w:val="31"/>
      </w:pPr>
      <w:r>
        <w:t>Consecutive‑Frame Motion Magnitude</w:t>
      </w:r>
    </w:p>
    <w:p w14:paraId="0F482704" w14:textId="77777777" w:rsidR="00766230" w:rsidRDefault="001D0C3B">
      <w:r>
        <w:rPr>
          <w:noProof/>
        </w:rPr>
        <w:drawing>
          <wp:inline distT="0" distB="0" distL="0" distR="0" wp14:anchorId="4FC920E1" wp14:editId="71FF4940">
            <wp:extent cx="3657600" cy="3657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748E" w14:textId="77777777" w:rsidR="00766230" w:rsidRDefault="001D0C3B">
      <w:pPr>
        <w:pStyle w:val="21"/>
      </w:pPr>
      <w:r>
        <w:lastRenderedPageBreak/>
        <w:t>Summary</w:t>
      </w:r>
    </w:p>
    <w:p w14:paraId="453D5CF4" w14:textId="77777777" w:rsidR="00766230" w:rsidRDefault="001D0C3B">
      <w:r>
        <w:t>P</w:t>
      </w:r>
      <w:r>
        <w:t>reprocessing ensures clean LR/HR pairs, accurate foveation masks, and sufficient dataset analysis for the development of a gaze-aware on-device super-resolution system.</w:t>
      </w:r>
    </w:p>
    <w:sectPr w:rsidR="007662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C3B"/>
    <w:rsid w:val="0029639D"/>
    <w:rsid w:val="00326F90"/>
    <w:rsid w:val="007662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2373AD"/>
  <w14:defaultImageDpi w14:val="300"/>
  <w15:docId w15:val="{089F59A4-8020-4558-BA94-081509A42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F3F3F3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F3F3F3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F0F0F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F0F0F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F3F3F3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F3F3F3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F7F7F7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B3B3B3" w:themeColor="text1" w:themeShade="BF"/>
    </w:rPr>
    <w:tblPr>
      <w:tblStyleRowBandSize w:val="1"/>
      <w:tblStyleColBandSize w:val="1"/>
      <w:tblBorders>
        <w:top w:val="single" w:sz="8" w:space="0" w:color="F0F0F0" w:themeColor="text1"/>
        <w:bottom w:val="single" w:sz="8" w:space="0" w:color="F0F0F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F0F0" w:themeColor="text1"/>
          <w:left w:val="nil"/>
          <w:bottom w:val="single" w:sz="8" w:space="0" w:color="F0F0F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F0F0" w:themeColor="text1"/>
          <w:left w:val="nil"/>
          <w:bottom w:val="single" w:sz="8" w:space="0" w:color="F0F0F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  <w:tblStylePr w:type="band1Horz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  <w:insideH w:val="single" w:sz="8" w:space="0" w:color="F0F0F0" w:themeColor="text1"/>
        <w:insideV w:val="single" w:sz="8" w:space="0" w:color="F0F0F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18" w:space="0" w:color="F0F0F0" w:themeColor="text1"/>
          <w:right w:val="single" w:sz="8" w:space="0" w:color="F0F0F0" w:themeColor="text1"/>
          <w:insideH w:val="nil"/>
          <w:insideV w:val="single" w:sz="8" w:space="0" w:color="F0F0F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  <w:insideH w:val="nil"/>
          <w:insideV w:val="single" w:sz="8" w:space="0" w:color="F0F0F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  <w:tblStylePr w:type="band1Vert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  <w:shd w:val="clear" w:color="auto" w:fill="FBFBFB" w:themeFill="text1" w:themeFillTint="3F"/>
      </w:tcPr>
    </w:tblStylePr>
    <w:tblStylePr w:type="band1Horz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  <w:insideV w:val="single" w:sz="8" w:space="0" w:color="F0F0F0" w:themeColor="text1"/>
        </w:tcBorders>
        <w:shd w:val="clear" w:color="auto" w:fill="FBFBFB" w:themeFill="text1" w:themeFillTint="3F"/>
      </w:tcPr>
    </w:tblStylePr>
    <w:tblStylePr w:type="band2Horz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  <w:insideV w:val="single" w:sz="8" w:space="0" w:color="F0F0F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F3F3" w:themeColor="text1" w:themeTint="BF"/>
        <w:left w:val="single" w:sz="8" w:space="0" w:color="F3F3F3" w:themeColor="text1" w:themeTint="BF"/>
        <w:bottom w:val="single" w:sz="8" w:space="0" w:color="F3F3F3" w:themeColor="text1" w:themeTint="BF"/>
        <w:right w:val="single" w:sz="8" w:space="0" w:color="F3F3F3" w:themeColor="text1" w:themeTint="BF"/>
        <w:insideH w:val="single" w:sz="8" w:space="0" w:color="F3F3F3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3F3F3" w:themeColor="text1" w:themeTint="BF"/>
          <w:left w:val="single" w:sz="8" w:space="0" w:color="F3F3F3" w:themeColor="text1" w:themeTint="BF"/>
          <w:bottom w:val="single" w:sz="8" w:space="0" w:color="F3F3F3" w:themeColor="text1" w:themeTint="BF"/>
          <w:right w:val="single" w:sz="8" w:space="0" w:color="F3F3F3" w:themeColor="text1" w:themeTint="BF"/>
          <w:insideH w:val="nil"/>
          <w:insideV w:val="nil"/>
        </w:tcBorders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F3F3" w:themeColor="text1" w:themeTint="BF"/>
          <w:left w:val="single" w:sz="8" w:space="0" w:color="F3F3F3" w:themeColor="text1" w:themeTint="BF"/>
          <w:bottom w:val="single" w:sz="8" w:space="0" w:color="F3F3F3" w:themeColor="text1" w:themeTint="BF"/>
          <w:right w:val="single" w:sz="8" w:space="0" w:color="F3F3F3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B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BFB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F0F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F0F0F0" w:themeColor="text1"/>
        <w:bottom w:val="single" w:sz="8" w:space="0" w:color="F0F0F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F0F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0F0F0" w:themeColor="text1"/>
          <w:bottom w:val="single" w:sz="8" w:space="0" w:color="F0F0F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F0F0" w:themeColor="text1"/>
          <w:bottom w:val="single" w:sz="8" w:space="0" w:color="F0F0F0" w:themeColor="text1"/>
        </w:tcBorders>
      </w:tcPr>
    </w:tblStylePr>
    <w:tblStylePr w:type="band1Vert">
      <w:tblPr/>
      <w:tcPr>
        <w:shd w:val="clear" w:color="auto" w:fill="FBFBFB" w:themeFill="text1" w:themeFillTint="3F"/>
      </w:tcPr>
    </w:tblStylePr>
    <w:tblStylePr w:type="band1Horz">
      <w:tblPr/>
      <w:tcPr>
        <w:shd w:val="clear" w:color="auto" w:fill="FBFBFB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F0F0" w:themeColor="tex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F0F0" w:themeColor="tex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0F0F0" w:themeColor="tex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BFB" w:themeFill="tex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F3F3" w:themeColor="text1" w:themeTint="BF"/>
        <w:left w:val="single" w:sz="8" w:space="0" w:color="F3F3F3" w:themeColor="text1" w:themeTint="BF"/>
        <w:bottom w:val="single" w:sz="8" w:space="0" w:color="F3F3F3" w:themeColor="text1" w:themeTint="BF"/>
        <w:right w:val="single" w:sz="8" w:space="0" w:color="F3F3F3" w:themeColor="text1" w:themeTint="BF"/>
        <w:insideH w:val="single" w:sz="8" w:space="0" w:color="F3F3F3" w:themeColor="text1" w:themeTint="BF"/>
        <w:insideV w:val="single" w:sz="8" w:space="0" w:color="F3F3F3" w:themeColor="text1" w:themeTint="BF"/>
      </w:tblBorders>
    </w:tblPr>
    <w:tcPr>
      <w:shd w:val="clear" w:color="auto" w:fill="FBFBFB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F3F3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shd w:val="clear" w:color="auto" w:fill="F7F7F7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  <w:insideH w:val="single" w:sz="8" w:space="0" w:color="F0F0F0" w:themeColor="text1"/>
        <w:insideV w:val="single" w:sz="8" w:space="0" w:color="F0F0F0" w:themeColor="text1"/>
      </w:tblBorders>
    </w:tblPr>
    <w:tcPr>
      <w:shd w:val="clear" w:color="auto" w:fill="FBFBFB" w:themeFill="text1" w:themeFillTint="3F"/>
    </w:tcPr>
    <w:tblStylePr w:type="firstRow">
      <w:rPr>
        <w:b/>
        <w:bCs/>
        <w:color w:val="F0F0F0" w:themeColor="text1"/>
      </w:rPr>
      <w:tblPr/>
      <w:tcPr>
        <w:shd w:val="clear" w:color="auto" w:fill="FDFDFD" w:themeFill="text1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CFC" w:themeFill="text1" w:themeFillTint="33"/>
      </w:tc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tcBorders>
          <w:insideH w:val="single" w:sz="6" w:space="0" w:color="F0F0F0" w:themeColor="text1"/>
          <w:insideV w:val="single" w:sz="6" w:space="0" w:color="F0F0F0" w:themeColor="text1"/>
        </w:tcBorders>
        <w:shd w:val="clear" w:color="auto" w:fill="F7F7F7" w:themeFill="tex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F0F0F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F0F0F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F0F0F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F0F0F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F0F0F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F0F0F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BFBFB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0F0F0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0F0F0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0F0F0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0F0F0" w:themeFill="tex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7F7F7" w:themeFill="tex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7F7F7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0F0F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777777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B3B3B3" w:themeFill="tex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F0F0F0" w:themeColor="text1"/>
        <w:bottom w:val="single" w:sz="4" w:space="0" w:color="F0F0F0" w:themeColor="text1"/>
        <w:right w:val="single" w:sz="4" w:space="0" w:color="F0F0F0" w:themeColor="tex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DFDFD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90909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09090" w:themeColor="text1" w:themeShade="99"/>
          <w:insideV w:val="nil"/>
        </w:tcBorders>
        <w:shd w:val="clear" w:color="auto" w:fill="90909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Vert">
      <w:tblPr/>
      <w:tcPr>
        <w:shd w:val="clear" w:color="auto" w:fill="F9F9F9" w:themeFill="text1" w:themeFillTint="66"/>
      </w:tcPr>
    </w:tblStylePr>
    <w:tblStylePr w:type="band1Horz">
      <w:tblPr/>
      <w:tcPr>
        <w:shd w:val="clear" w:color="auto" w:fill="F7F7F7" w:themeFill="text1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DFDFD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shd w:val="clear" w:color="auto" w:fill="FCFCF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CFCFC" w:themeFill="text1" w:themeFillTint="33"/>
    </w:tcPr>
    <w:tblStylePr w:type="firstRow">
      <w:rPr>
        <w:b/>
        <w:bCs/>
      </w:rPr>
      <w:tblPr/>
      <w:tcPr>
        <w:shd w:val="clear" w:color="auto" w:fill="F9F9F9" w:themeFill="text1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F9F9F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B3B3B3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B3B3B3" w:themeFill="text1" w:themeFillShade="BF"/>
      </w:tc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shd w:val="clear" w:color="auto" w:fill="F7F7F7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Мухаммадсодик Кобилжонов</cp:lastModifiedBy>
  <cp:revision>2</cp:revision>
  <dcterms:created xsi:type="dcterms:W3CDTF">2013-12-23T23:15:00Z</dcterms:created>
  <dcterms:modified xsi:type="dcterms:W3CDTF">2025-11-14T06:19:00Z</dcterms:modified>
  <cp:category/>
</cp:coreProperties>
</file>