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宋体" w:hAnsi="宋体" w:eastAsia="宋体"/>
          <w:b/>
          <w:color w:val="1F2937"/>
          <w:sz w:val="36"/>
        </w:rPr>
        <w:t>买卖合同纠纷案件分析报告</w:t>
      </w:r>
    </w:p>
    <w:p>
      <w:pPr>
        <w:spacing w:after="280"/>
        <w:jc w:val="center"/>
      </w:pPr>
      <w:r>
        <w:rPr>
          <w:rFonts w:ascii="宋体" w:hAnsi="宋体" w:eastAsia="宋体"/>
          <w:b w:val="0"/>
          <w:color w:val="64748B"/>
          <w:sz w:val="18"/>
        </w:rPr>
        <w:t>案件编号：CASE-2026-001（系统测试样例）    编制日期：2026年10月22日</w:t>
      </w:r>
    </w:p>
    <w:p>
      <w:pPr>
        <w:spacing w:before="160" w:after="160"/>
        <w:ind w:left="240" w:right="240"/>
        <w:jc w:val="left"/>
      </w:pPr>
      <w:r>
        <w:rPr>
          <w:rFonts w:ascii="宋体" w:hAnsi="宋体" w:eastAsia="宋体"/>
          <w:b w:val="0"/>
          <w:color w:val="78350F"/>
          <w:sz w:val="18"/>
        </w:rPr>
        <w:t>重要提示：本报告为律法知识检索系统私人案件文档测试样例，文中当事人、案号、金额、地址、联系方式等均为虚构，仅用于验证“私人案件文档上传、解析、检索与混合意图识别”功能，不构成任何真实法律意见。</w:t>
      </w:r>
    </w:p>
    <w:p>
      <w:pPr>
        <w:spacing w:before="240" w:after="100"/>
      </w:pPr>
      <w:r>
        <w:rPr>
          <w:rFonts w:ascii="宋体" w:hAnsi="宋体" w:eastAsia="宋体"/>
          <w:b/>
          <w:color w:val="1E40AF"/>
          <w:sz w:val="26"/>
        </w:rPr>
        <w:t>一、案件基本信息</w:t>
      </w:r>
    </w:p>
    <w:p>
      <w:pPr>
        <w:ind w:firstLine="420"/>
      </w:pPr>
      <w:r>
        <w:rPr>
          <w:rFonts w:ascii="宋体" w:hAnsi="宋体" w:eastAsia="宋体"/>
          <w:b w:val="0"/>
          <w:sz w:val="21"/>
        </w:rPr>
        <w:t>案号：（2026）京0105民初12345号（测试样例）。</w:t>
      </w:r>
    </w:p>
    <w:p>
      <w:pPr>
        <w:ind w:firstLine="420"/>
      </w:pPr>
      <w:r>
        <w:rPr>
          <w:rFonts w:ascii="宋体" w:hAnsi="宋体" w:eastAsia="宋体"/>
          <w:b w:val="0"/>
          <w:sz w:val="21"/>
        </w:rPr>
        <w:t>案由：买卖合同纠纷。</w:t>
      </w:r>
    </w:p>
    <w:p>
      <w:pPr>
        <w:ind w:firstLine="420"/>
      </w:pPr>
      <w:r>
        <w:rPr>
          <w:rFonts w:ascii="宋体" w:hAnsi="宋体" w:eastAsia="宋体"/>
          <w:b w:val="0"/>
          <w:sz w:val="21"/>
        </w:rPr>
        <w:t>受理法院：北京市朝阳区人民法院。</w:t>
      </w:r>
    </w:p>
    <w:p>
      <w:pPr>
        <w:ind w:firstLine="420"/>
      </w:pPr>
      <w:r>
        <w:rPr>
          <w:rFonts w:ascii="宋体" w:hAnsi="宋体" w:eastAsia="宋体"/>
          <w:b w:val="0"/>
          <w:sz w:val="21"/>
        </w:rPr>
        <w:t>原告：北京华远钢材有限公司。</w:t>
      </w:r>
    </w:p>
    <w:p>
      <w:pPr>
        <w:ind w:firstLine="420"/>
      </w:pPr>
      <w:r>
        <w:rPr>
          <w:rFonts w:ascii="宋体" w:hAnsi="宋体" w:eastAsia="宋体"/>
          <w:b w:val="0"/>
          <w:sz w:val="21"/>
        </w:rPr>
        <w:t>被告：河北恒达建筑工程有限公司。</w:t>
      </w:r>
    </w:p>
    <w:p>
      <w:pPr>
        <w:ind w:firstLine="420"/>
      </w:pPr>
      <w:r>
        <w:rPr>
          <w:rFonts w:ascii="宋体" w:hAnsi="宋体" w:eastAsia="宋体"/>
          <w:b w:val="0"/>
          <w:sz w:val="21"/>
        </w:rPr>
        <w:t>第三人：无。</w:t>
      </w:r>
    </w:p>
    <w:p>
      <w:pPr>
        <w:ind w:firstLine="420"/>
      </w:pPr>
      <w:r>
        <w:rPr>
          <w:rFonts w:ascii="宋体" w:hAnsi="宋体" w:eastAsia="宋体"/>
          <w:b w:val="0"/>
          <w:sz w:val="21"/>
        </w:rPr>
        <w:t>诉讼标的额：人民币3,860,000元及逾期付款利息、律师费、保全费等。</w:t>
      </w:r>
    </w:p>
    <w:p>
      <w:pPr>
        <w:ind w:firstLine="420"/>
      </w:pPr>
      <w:r>
        <w:rPr>
          <w:rFonts w:ascii="宋体" w:hAnsi="宋体" w:eastAsia="宋体"/>
          <w:b w:val="0"/>
          <w:sz w:val="21"/>
        </w:rPr>
        <w:t>立案日期：2026年1月5日。</w:t>
      </w:r>
    </w:p>
    <w:p>
      <w:pPr>
        <w:ind w:firstLine="420"/>
      </w:pPr>
      <w:r>
        <w:rPr>
          <w:rFonts w:ascii="宋体" w:hAnsi="宋体" w:eastAsia="宋体"/>
          <w:b w:val="0"/>
          <w:sz w:val="21"/>
        </w:rPr>
        <w:t>当前阶段：一审已立案，尚未开庭，原告拟申请财产保全。</w:t>
      </w:r>
    </w:p>
    <w:p>
      <w:pPr>
        <w:spacing w:before="240" w:after="100"/>
      </w:pPr>
      <w:r>
        <w:rPr>
          <w:rFonts w:ascii="宋体" w:hAnsi="宋体" w:eastAsia="宋体"/>
          <w:b/>
          <w:color w:val="1E40AF"/>
          <w:sz w:val="26"/>
        </w:rPr>
        <w:t>二、当事人信息</w:t>
      </w:r>
    </w:p>
    <w:p>
      <w:pPr>
        <w:ind w:firstLine="420"/>
      </w:pPr>
      <w:r>
        <w:rPr>
          <w:rFonts w:ascii="宋体" w:hAnsi="宋体" w:eastAsia="宋体"/>
          <w:b w:val="0"/>
          <w:sz w:val="21"/>
        </w:rPr>
        <w:t>原告北京华远钢材有限公司，统一社会信用代码91110105MA01TEST01（测试样例），住所地北京市朝阳区建国路88号，法定代表人张建国，职务执行董事。委托诉讼代理人：王律师，北京某某律师事务所律师，代理权限为特别授权。</w:t>
      </w:r>
    </w:p>
    <w:p>
      <w:pPr>
        <w:ind w:firstLine="420"/>
      </w:pPr>
      <w:r>
        <w:rPr>
          <w:rFonts w:ascii="宋体" w:hAnsi="宋体" w:eastAsia="宋体"/>
          <w:b w:val="0"/>
          <w:sz w:val="21"/>
        </w:rPr>
        <w:t>被告河北恒达建筑工程有限公司，统一社会信用代码91130102MA02TEST02（测试样例），住所地河北省石家庄市长安区建设北大街66号，法定代表人李强，职务总经理。</w:t>
      </w:r>
    </w:p>
    <w:p>
      <w:pPr>
        <w:ind w:firstLine="420"/>
      </w:pPr>
      <w:r>
        <w:rPr>
          <w:rFonts w:ascii="宋体" w:hAnsi="宋体" w:eastAsia="宋体"/>
          <w:b w:val="0"/>
          <w:sz w:val="21"/>
        </w:rPr>
        <w:t>据原告陈述，被告目前仍在正常经营，但其名下多个银行账户存在被其他债权人冻结的迹象。原告尚未掌握被告名下不动产、车辆、股权的完整线索，拟在起诉后申请法院调查。</w:t>
      </w:r>
    </w:p>
    <w:p>
      <w:pPr>
        <w:spacing w:before="240" w:after="100"/>
      </w:pPr>
      <w:r>
        <w:rPr>
          <w:rFonts w:ascii="宋体" w:hAnsi="宋体" w:eastAsia="宋体"/>
          <w:b/>
          <w:color w:val="1E40AF"/>
          <w:sz w:val="26"/>
        </w:rPr>
        <w:t>三、案件事实</w:t>
      </w:r>
    </w:p>
    <w:p>
      <w:pPr>
        <w:ind w:firstLine="420"/>
      </w:pPr>
      <w:r>
        <w:rPr>
          <w:rFonts w:ascii="宋体" w:hAnsi="宋体" w:eastAsia="宋体"/>
          <w:b w:val="0"/>
          <w:sz w:val="21"/>
        </w:rPr>
        <w:t>2025年3月12日，原告与被告签订《钢材采购合同》（合同编号：HY-HD-2025-0312），约定被告向原告采购HRB400E螺纹钢及盘螺，暂定总价人民币4,200,000元，最终按实际供货数量结算；付款方式为货到验收合格后60日内支付当批货款的80%，余款在项目主体结构封顶后30日内付清。合同同时约定，逾期付款的，按未付款项日万分之五支付违约金。</w:t>
      </w:r>
    </w:p>
    <w:p>
      <w:pPr>
        <w:ind w:firstLine="420"/>
      </w:pPr>
      <w:r>
        <w:rPr>
          <w:rFonts w:ascii="宋体" w:hAnsi="宋体" w:eastAsia="宋体"/>
          <w:b w:val="0"/>
          <w:sz w:val="21"/>
        </w:rPr>
        <w:t>2025年4月1日至2025年5月28日，原告按照被告发出的供货计划，分七批次将钢材送至被告位于北京市通州区某项目工地，被告现场人员签收并加盖项目部收货专用章。原告累计供货金额为人民币4,860,000元。</w:t>
      </w:r>
    </w:p>
    <w:p>
      <w:pPr>
        <w:ind w:firstLine="420"/>
      </w:pPr>
      <w:r>
        <w:rPr>
          <w:rFonts w:ascii="宋体" w:hAnsi="宋体" w:eastAsia="宋体"/>
          <w:b w:val="0"/>
          <w:sz w:val="21"/>
        </w:rPr>
        <w:t>2025年6月30日，双方进行对账，被告确认截至2025年6月30日尚欠原告货款人民币3,860,000元，并在《对账单》上加盖被告公司公章。对账单载明：“双方对供货数量、单价及欠款金额无异议，被告承诺于2025年9月30日前付清。”</w:t>
      </w:r>
    </w:p>
    <w:p>
      <w:pPr>
        <w:ind w:firstLine="420"/>
      </w:pPr>
      <w:r>
        <w:rPr>
          <w:rFonts w:ascii="宋体" w:hAnsi="宋体" w:eastAsia="宋体"/>
          <w:b w:val="0"/>
          <w:sz w:val="21"/>
        </w:rPr>
        <w:t>2025年8月15日，原告通过电子邮件及微信向被告发送《付款催告函》，要求被告按对账单确认的期限付款。被告项目负责人回复称“项目回款延迟，请再宽限一个月”。</w:t>
      </w:r>
    </w:p>
    <w:p>
      <w:pPr>
        <w:ind w:firstLine="420"/>
      </w:pPr>
      <w:r>
        <w:rPr>
          <w:rFonts w:ascii="宋体" w:hAnsi="宋体" w:eastAsia="宋体"/>
          <w:b w:val="0"/>
          <w:sz w:val="21"/>
        </w:rPr>
        <w:t>2025年9月20日，被告向原告出具《还款承诺书》，承诺于2025年10月31日前支付人民币2,000,000元，剩余1,860,000元于2025年12月31日前付清。该承诺书由被告法定代表人李强签字并加盖公司公章。</w:t>
      </w:r>
    </w:p>
    <w:p>
      <w:pPr>
        <w:ind w:firstLine="420"/>
      </w:pPr>
      <w:r>
        <w:rPr>
          <w:rFonts w:ascii="宋体" w:hAnsi="宋体" w:eastAsia="宋体"/>
          <w:b w:val="0"/>
          <w:sz w:val="21"/>
        </w:rPr>
        <w:t>截至2026年1月5日，被告仅于2025年10月28日支付人民币500,000元，剩余人民币3,360,000元至今未付。原告多次催告无果，遂向北京市朝阳区人民法院提起诉讼。</w:t>
      </w:r>
    </w:p>
    <w:p>
      <w:pPr>
        <w:ind w:firstLine="420"/>
      </w:pPr>
      <w:r>
        <w:rPr>
          <w:rFonts w:ascii="宋体" w:hAnsi="宋体" w:eastAsia="宋体"/>
          <w:b w:val="0"/>
          <w:sz w:val="21"/>
        </w:rPr>
        <w:t>被告在诉前沟通中提出两点抗辩：其一，原告供应的部分钢材存在锈蚀、尺寸偏差，导致其被总包单位扣款，要求减少货款；其二，双方对账后曾口头协商延期付款，原告主张的逾期利息不应从2025年10月1日起算。原告认为，被告未在合同约定的质量异议期内提出书面异议，亦未提供有效质检报告，其抗辩缺乏依据。</w:t>
      </w:r>
    </w:p>
    <w:p>
      <w:pPr>
        <w:spacing w:before="240" w:after="100"/>
      </w:pPr>
      <w:r>
        <w:rPr>
          <w:rFonts w:ascii="宋体" w:hAnsi="宋体" w:eastAsia="宋体"/>
          <w:b/>
          <w:color w:val="1E40AF"/>
          <w:sz w:val="26"/>
        </w:rPr>
        <w:t>四、证据材料</w:t>
      </w:r>
    </w:p>
    <w:p>
      <w:pPr>
        <w:ind w:firstLine="420"/>
      </w:pPr>
      <w:r>
        <w:rPr>
          <w:rFonts w:ascii="宋体" w:hAnsi="宋体" w:eastAsia="宋体"/>
          <w:b w:val="0"/>
          <w:sz w:val="21"/>
        </w:rPr>
        <w:t>原告目前拟提交的证据如下：</w:t>
      </w:r>
    </w:p>
    <w:p>
      <w:pPr>
        <w:pStyle w:val="ListBullet"/>
        <w:spacing w:line="348" w:lineRule="auto"/>
      </w:pPr>
      <w:r>
        <w:rPr>
          <w:rFonts w:ascii="宋体" w:hAnsi="宋体" w:eastAsia="宋体"/>
          <w:b w:val="0"/>
          <w:sz w:val="21"/>
        </w:rPr>
        <w:t>《钢材采购合同》原件及附件，证明双方买卖合同关系、供货范围、付款期限及违约责任约定。</w:t>
      </w:r>
    </w:p>
    <w:p>
      <w:pPr>
        <w:pStyle w:val="ListBullet"/>
        <w:spacing w:line="348" w:lineRule="auto"/>
      </w:pPr>
      <w:r>
        <w:rPr>
          <w:rFonts w:ascii="宋体" w:hAnsi="宋体" w:eastAsia="宋体"/>
          <w:b w:val="0"/>
          <w:sz w:val="21"/>
        </w:rPr>
        <w:t>送货单、签收单七组，证明原告已按约交付货物，被告现场人员签收并加盖项目部收货专用章。</w:t>
      </w:r>
    </w:p>
    <w:p>
      <w:pPr>
        <w:pStyle w:val="ListBullet"/>
        <w:spacing w:line="348" w:lineRule="auto"/>
      </w:pPr>
      <w:r>
        <w:rPr>
          <w:rFonts w:ascii="宋体" w:hAnsi="宋体" w:eastAsia="宋体"/>
          <w:b w:val="0"/>
          <w:sz w:val="21"/>
        </w:rPr>
        <w:t>《对账单》一份，证明被告以公司公章确认欠款金额为3,860,000元。</w:t>
      </w:r>
    </w:p>
    <w:p>
      <w:pPr>
        <w:pStyle w:val="ListBullet"/>
        <w:spacing w:line="348" w:lineRule="auto"/>
      </w:pPr>
      <w:r>
        <w:rPr>
          <w:rFonts w:ascii="宋体" w:hAnsi="宋体" w:eastAsia="宋体"/>
          <w:b w:val="0"/>
          <w:sz w:val="21"/>
        </w:rPr>
        <w:t>增值税专用发票及完税凭证，证明原告已履行开票义务，交易真实。</w:t>
      </w:r>
    </w:p>
    <w:p>
      <w:pPr>
        <w:pStyle w:val="ListBullet"/>
        <w:spacing w:line="348" w:lineRule="auto"/>
      </w:pPr>
      <w:r>
        <w:rPr>
          <w:rFonts w:ascii="宋体" w:hAnsi="宋体" w:eastAsia="宋体"/>
          <w:b w:val="0"/>
          <w:sz w:val="21"/>
        </w:rPr>
        <w:t>电子邮件、微信聊天记录及《付款催告函》，证明原告持续催款、被告承认欠款并承诺还款。</w:t>
      </w:r>
    </w:p>
    <w:p>
      <w:pPr>
        <w:pStyle w:val="ListBullet"/>
        <w:spacing w:line="348" w:lineRule="auto"/>
      </w:pPr>
      <w:r>
        <w:rPr>
          <w:rFonts w:ascii="宋体" w:hAnsi="宋体" w:eastAsia="宋体"/>
          <w:b w:val="0"/>
          <w:sz w:val="21"/>
        </w:rPr>
        <w:t>《还款承诺书》一份，证明被告法定代表人确认债务并作出分期还款承诺。</w:t>
      </w:r>
    </w:p>
    <w:p>
      <w:pPr>
        <w:pStyle w:val="ListBullet"/>
        <w:spacing w:line="348" w:lineRule="auto"/>
      </w:pPr>
      <w:r>
        <w:rPr>
          <w:rFonts w:ascii="宋体" w:hAnsi="宋体" w:eastAsia="宋体"/>
          <w:b w:val="0"/>
          <w:sz w:val="21"/>
        </w:rPr>
        <w:t>被告企业信用信息公示报告，证明被告主体身份及经营状态。</w:t>
      </w:r>
    </w:p>
    <w:p>
      <w:pPr>
        <w:pStyle w:val="ListBullet"/>
        <w:spacing w:line="348" w:lineRule="auto"/>
      </w:pPr>
      <w:r>
        <w:rPr>
          <w:rFonts w:ascii="宋体" w:hAnsi="宋体" w:eastAsia="宋体"/>
          <w:b w:val="0"/>
          <w:sz w:val="21"/>
        </w:rPr>
        <w:t>原告单方委托的钢材质量复检报告（如有），用于反驳被告的质量抗辩。</w:t>
      </w:r>
    </w:p>
    <w:p>
      <w:pPr>
        <w:ind w:firstLine="420"/>
      </w:pPr>
      <w:r>
        <w:rPr>
          <w:rFonts w:ascii="宋体" w:hAnsi="宋体" w:eastAsia="宋体"/>
          <w:b w:val="0"/>
          <w:sz w:val="21"/>
        </w:rPr>
        <w:t>证据风险提示：送货单中两份仅有项目部收货章、无经办人签字；微信聊天记录需保留原始载体并做公证或当庭演示；对账单虽加盖公章，但被告可能主张盖章人员无权代表公司，需要结合交易习惯、后续还款行为进行补强。</w:t>
      </w:r>
    </w:p>
    <w:p>
      <w:pPr>
        <w:spacing w:before="240" w:after="100"/>
      </w:pPr>
      <w:r>
        <w:rPr>
          <w:rFonts w:ascii="宋体" w:hAnsi="宋体" w:eastAsia="宋体"/>
          <w:b/>
          <w:color w:val="1E40AF"/>
          <w:sz w:val="26"/>
        </w:rPr>
        <w:t>五、争议焦点</w:t>
      </w:r>
    </w:p>
    <w:p>
      <w:pPr>
        <w:ind w:firstLine="420"/>
      </w:pPr>
      <w:r>
        <w:rPr>
          <w:rFonts w:ascii="宋体" w:hAnsi="宋体" w:eastAsia="宋体"/>
          <w:b w:val="0"/>
          <w:sz w:val="21"/>
        </w:rPr>
        <w:t>结合双方诉辩意见，本案争议焦点可能包括：</w:t>
      </w:r>
    </w:p>
    <w:p>
      <w:pPr>
        <w:pStyle w:val="ListBullet"/>
        <w:spacing w:line="348" w:lineRule="auto"/>
      </w:pPr>
      <w:r>
        <w:rPr>
          <w:rFonts w:ascii="宋体" w:hAnsi="宋体" w:eastAsia="宋体"/>
          <w:b w:val="0"/>
          <w:sz w:val="21"/>
        </w:rPr>
        <w:t>第一，案涉《钢材采购合同》是否合法有效，是否存在无效、可撤销或未成立的情形。</w:t>
      </w:r>
    </w:p>
    <w:p>
      <w:pPr>
        <w:pStyle w:val="ListBullet"/>
        <w:spacing w:line="348" w:lineRule="auto"/>
      </w:pPr>
      <w:r>
        <w:rPr>
          <w:rFonts w:ascii="宋体" w:hAnsi="宋体" w:eastAsia="宋体"/>
          <w:b w:val="0"/>
          <w:sz w:val="21"/>
        </w:rPr>
        <w:t>第二，被告尚欠货款的具体金额如何认定，2025年10月28日支付的500,000元应冲抵本金还是利息。</w:t>
      </w:r>
    </w:p>
    <w:p>
      <w:pPr>
        <w:pStyle w:val="ListBullet"/>
        <w:spacing w:line="348" w:lineRule="auto"/>
      </w:pPr>
      <w:r>
        <w:rPr>
          <w:rFonts w:ascii="宋体" w:hAnsi="宋体" w:eastAsia="宋体"/>
          <w:b w:val="0"/>
          <w:sz w:val="21"/>
        </w:rPr>
        <w:t>第三，原告主张的逾期付款利息或违约金应从何时起算、按何标准计算，是否过高。</w:t>
      </w:r>
    </w:p>
    <w:p>
      <w:pPr>
        <w:pStyle w:val="ListBullet"/>
        <w:spacing w:line="348" w:lineRule="auto"/>
      </w:pPr>
      <w:r>
        <w:rPr>
          <w:rFonts w:ascii="宋体" w:hAnsi="宋体" w:eastAsia="宋体"/>
          <w:b w:val="0"/>
          <w:sz w:val="21"/>
        </w:rPr>
        <w:t>第四，被告的质量抗辩是否成立，原告是否应承担质量瑕疵担保责任。</w:t>
      </w:r>
    </w:p>
    <w:p>
      <w:pPr>
        <w:pStyle w:val="ListBullet"/>
        <w:spacing w:line="348" w:lineRule="auto"/>
      </w:pPr>
      <w:r>
        <w:rPr>
          <w:rFonts w:ascii="宋体" w:hAnsi="宋体" w:eastAsia="宋体"/>
          <w:b w:val="0"/>
          <w:sz w:val="21"/>
        </w:rPr>
        <w:t>第五，本案是否涉及刑民交叉，被告的行为是否可能构成合同诈骗罪，是否影响民事案件审理。</w:t>
      </w:r>
    </w:p>
    <w:p>
      <w:pPr>
        <w:pStyle w:val="ListBullet"/>
        <w:spacing w:line="348" w:lineRule="auto"/>
      </w:pPr>
      <w:r>
        <w:rPr>
          <w:rFonts w:ascii="宋体" w:hAnsi="宋体" w:eastAsia="宋体"/>
          <w:b w:val="0"/>
          <w:sz w:val="21"/>
        </w:rPr>
        <w:t>第六，原告的诉讼请求是否超过诉讼时效，财产保全申请是否符合条件。</w:t>
      </w:r>
    </w:p>
    <w:p>
      <w:pPr>
        <w:spacing w:before="240" w:after="100"/>
      </w:pPr>
      <w:r>
        <w:rPr>
          <w:rFonts w:ascii="宋体" w:hAnsi="宋体" w:eastAsia="宋体"/>
          <w:b/>
          <w:color w:val="1E40AF"/>
          <w:sz w:val="26"/>
        </w:rPr>
        <w:t>六、法律分析</w:t>
      </w:r>
    </w:p>
    <w:p>
      <w:pPr>
        <w:ind w:firstLine="420"/>
      </w:pPr>
      <w:r>
        <w:rPr>
          <w:rFonts w:ascii="宋体" w:hAnsi="宋体" w:eastAsia="宋体"/>
          <w:b w:val="0"/>
          <w:sz w:val="21"/>
        </w:rPr>
        <w:t>（一）关于合同效力。根据《中华人民共和国民法典》第一百四十三条，具备行为人具有相应的民事行为能力、意思表示真实、不违反法律行政法规的强制性规定和公序良俗等条件的民事法律行为有效。本案双方均系依法设立的公司，合同内容为钢材买卖，不属于法律禁止交易的范围；现有证据未显示存在欺诈、胁迫、恶意串通等情形，案涉合同原则上应认定有效。</w:t>
      </w:r>
    </w:p>
    <w:p>
      <w:pPr>
        <w:ind w:firstLine="420"/>
      </w:pPr>
      <w:r>
        <w:rPr>
          <w:rFonts w:ascii="宋体" w:hAnsi="宋体" w:eastAsia="宋体"/>
          <w:b w:val="0"/>
          <w:sz w:val="21"/>
        </w:rPr>
        <w:t>（二）关于付款义务与违约责任。《中华人民共和国民法典》第五百零九条规定，当事人应当按照约定全面履行自己的义务；第五百七十七条规定，当事人一方不履行合同义务或者履行合同义务不符合约定的，应当承担继续履行、采取补救措施或者赔偿损失等违约责任；第五百七十九条规定，当事人一方未支付价款、报酬、租金、利息，或者不履行其他金钱债务的，对方可以请求其支付。被告已通过对账单、还款承诺书确认欠款，仍未按约支付，构成违约，原告有权请求支付剩余货款并赔偿逾期付款损失。</w:t>
      </w:r>
    </w:p>
    <w:p>
      <w:pPr>
        <w:ind w:firstLine="420"/>
      </w:pPr>
      <w:r>
        <w:rPr>
          <w:rFonts w:ascii="宋体" w:hAnsi="宋体" w:eastAsia="宋体"/>
          <w:b w:val="0"/>
          <w:sz w:val="21"/>
        </w:rPr>
        <w:t>（三）关于买卖合同的具体规则。《中华人民共和国民法典》第五百九十五条规定，买卖合同是出卖人转移标的物的所有权于买受人，买受人支付价款的合同；第六百二十六条规定，买受人应当按照约定的数额和支付方式支付价款。本案原告已履行交货义务，被告应依约支付价款。双方对付款期限有明确约定，被告逾期未付，应承担相应责任。</w:t>
      </w:r>
    </w:p>
    <w:p>
      <w:pPr>
        <w:ind w:firstLine="420"/>
      </w:pPr>
      <w:r>
        <w:rPr>
          <w:rFonts w:ascii="宋体" w:hAnsi="宋体" w:eastAsia="宋体"/>
          <w:b w:val="0"/>
          <w:sz w:val="21"/>
        </w:rPr>
        <w:t>（四）关于逾期利息与违约金。根据《中华人民共和国民法典》第五百八十四条，损失赔偿额应当相当于因违约所造成的损失，包括合同履行后可以获得的利益，但不得超过违约方订立合同时预见到或者应当预见到的因违约可能造成的损失。合同约定按日万分之五计算违约金，折合年化约18.25%，如被告抗辩过高，法院可能依据《民法典》第五百八十五条第二款予以调整。原告可准备同期全国银行间同业拆借中心公布的一年期贷款市场报价利率（LPR）及实际融资成本，作为损失合理性的补充依据。</w:t>
      </w:r>
    </w:p>
    <w:p>
      <w:pPr>
        <w:ind w:firstLine="420"/>
      </w:pPr>
      <w:r>
        <w:rPr>
          <w:rFonts w:ascii="宋体" w:hAnsi="宋体" w:eastAsia="宋体"/>
          <w:b w:val="0"/>
          <w:sz w:val="21"/>
        </w:rPr>
        <w:t>（五）关于质量抗辩。《中华人民共和国民法典》第六百二十条、第六百二十一条、第六百二十二条、第六百二十三条对买受人的检验义务、质量异议期及异议方式作出规定。被告如主张钢材存在质量问题，应证明其在约定或合理期限内提出异议，并证明质量问题与原告供货之间存在因果关系。现有材料显示，被告在收货后长期未提出书面质量异议，且已通过对账单确认欠款，其质量抗辩能否成立存在较大不确定性。</w:t>
      </w:r>
    </w:p>
    <w:p>
      <w:pPr>
        <w:ind w:firstLine="420"/>
      </w:pPr>
      <w:r>
        <w:rPr>
          <w:rFonts w:ascii="宋体" w:hAnsi="宋体" w:eastAsia="宋体"/>
          <w:b w:val="0"/>
          <w:sz w:val="21"/>
        </w:rPr>
        <w:t>（六）关于诉讼时效。《中华人民共和国民法典》第一百八十八条规定，向人民法院请求保护民事权利的诉讼时效期间为三年。本案付款期限届满日为2025年9月30日，原告于2026年1月5日起诉，显然未超过诉讼时效。即使按被告最后一次承诺的2025年12月31日计算，亦未超过时效。</w:t>
      </w:r>
    </w:p>
    <w:p>
      <w:pPr>
        <w:ind w:firstLine="420"/>
      </w:pPr>
      <w:r>
        <w:rPr>
          <w:rFonts w:ascii="宋体" w:hAnsi="宋体" w:eastAsia="宋体"/>
          <w:b w:val="0"/>
          <w:sz w:val="21"/>
        </w:rPr>
        <w:t>（七）关于刑民交叉与合同诈骗。 《中华人民共和国刑法》第二百二十四条规定了合同诈骗罪，其核心在于行为人以非法占有为目的，在签订、履行合同过程中，虚构事实、隐瞒真相，骗取对方当事人财物，数额较大。本案存在真实钢材交易、实际交货、部分付款及被告出具还款承诺等事实，初步看更符合民事违约特征；但如查明被告在签约时已无履约能力、使用虚假项目资料、收取货物后迅速转移资产或逃匿，则可能触及合同诈骗的刑事风险。建议对被告项目真实性、收货后货物去向、法定代表人及关联方资金流水、是否存在同类诉讼等作进一步调查，再决定是否向公安机关报案。</w:t>
      </w:r>
    </w:p>
    <w:p>
      <w:pPr>
        <w:ind w:firstLine="420"/>
      </w:pPr>
      <w:r>
        <w:rPr>
          <w:rFonts w:ascii="宋体" w:hAnsi="宋体" w:eastAsia="宋体"/>
          <w:b w:val="0"/>
          <w:sz w:val="21"/>
        </w:rPr>
        <w:t>（八）关于举证责任与保全。《中华人民共和国民事诉讼法》第六十七条规定，当事人对自己提出的主张，有责任提供证据。原告应就对账金额、付款期限、催告事实承担举证责任；被告应就其质量抗辩、延期付款抗辩承担举证责任。根据《中华人民共和国民事诉讼法》第一百零三条，原告可在起诉时或诉讼中申请财产保全，但应提供担保并提交被告财产线索。</w:t>
      </w:r>
    </w:p>
    <w:p>
      <w:pPr>
        <w:spacing w:before="240" w:after="100"/>
      </w:pPr>
      <w:r>
        <w:rPr>
          <w:rFonts w:ascii="宋体" w:hAnsi="宋体" w:eastAsia="宋体"/>
          <w:b/>
          <w:color w:val="1E40AF"/>
          <w:sz w:val="26"/>
        </w:rPr>
        <w:t>七、处理建议</w:t>
      </w:r>
    </w:p>
    <w:p>
      <w:pPr>
        <w:ind w:firstLine="420"/>
      </w:pPr>
      <w:r>
        <w:rPr>
          <w:rFonts w:ascii="宋体" w:hAnsi="宋体" w:eastAsia="宋体"/>
          <w:b w:val="0"/>
          <w:sz w:val="21"/>
        </w:rPr>
        <w:t>第一，尽快补充证据。重点补强两份缺少经办人签字的送货单，调取项目现场签收人员身份及授权材料；对微信聊天记录、电子邮件进行公证或可信时间戳固定；整理发票、物流单据、过磅单，形成完整交货链条。</w:t>
      </w:r>
    </w:p>
    <w:p>
      <w:pPr>
        <w:ind w:firstLine="420"/>
      </w:pPr>
      <w:r>
        <w:rPr>
          <w:rFonts w:ascii="宋体" w:hAnsi="宋体" w:eastAsia="宋体"/>
          <w:b w:val="0"/>
          <w:sz w:val="21"/>
        </w:rPr>
        <w:t>第二，明确诉讼请求。建议主张剩余货款人民币3,360,000元、按合同约定或LPR计算的逾期付款损失、律师费及保全费；如合同对律师费承担有明确约定，应一并主张并提交委托合同、发票。</w:t>
      </w:r>
    </w:p>
    <w:p>
      <w:pPr>
        <w:ind w:firstLine="420"/>
      </w:pPr>
      <w:r>
        <w:rPr>
          <w:rFonts w:ascii="宋体" w:hAnsi="宋体" w:eastAsia="宋体"/>
          <w:b w:val="0"/>
          <w:sz w:val="21"/>
        </w:rPr>
        <w:t>第三，申请财产保全。优先查询被告银行账户、应收账款、在建项目回款及名下不动产；必要时申请法院调查令。保全申请应与起诉同步提交，避免被告转移资产。</w:t>
      </w:r>
    </w:p>
    <w:p>
      <w:pPr>
        <w:ind w:firstLine="420"/>
      </w:pPr>
      <w:r>
        <w:rPr>
          <w:rFonts w:ascii="宋体" w:hAnsi="宋体" w:eastAsia="宋体"/>
          <w:b w:val="0"/>
          <w:sz w:val="21"/>
        </w:rPr>
        <w:t>第四，评估刑民交叉。若发现被告签约时虚构项目、冒用他人名义、收货后低价转卖或法定代表人失联，可整理刑事报案材料；在民事案件中，可申请法院调取相关证据，但不宜在事实不清时贸然以刑事报案替代民事诉讼。</w:t>
      </w:r>
    </w:p>
    <w:p>
      <w:pPr>
        <w:ind w:firstLine="420"/>
      </w:pPr>
      <w:r>
        <w:rPr>
          <w:rFonts w:ascii="宋体" w:hAnsi="宋体" w:eastAsia="宋体"/>
          <w:b w:val="0"/>
          <w:sz w:val="21"/>
        </w:rPr>
        <w:t>第五，保留调解空间。考虑到被告仍有经营及部分还款行为，可在保全到位后与被告协商分期还款，要求法定代表人及关联公司提供连带责任保证，并将还款期限、违约加速到期条款写入调解协议。</w:t>
      </w:r>
    </w:p>
    <w:p>
      <w:pPr>
        <w:spacing w:before="240" w:after="100"/>
      </w:pPr>
      <w:r>
        <w:rPr>
          <w:rFonts w:ascii="宋体" w:hAnsi="宋体" w:eastAsia="宋体"/>
          <w:b/>
          <w:color w:val="1E40AF"/>
          <w:sz w:val="26"/>
        </w:rPr>
        <w:t>八、风险提示</w:t>
      </w:r>
    </w:p>
    <w:p>
      <w:pPr>
        <w:pStyle w:val="ListBullet"/>
        <w:spacing w:line="348" w:lineRule="auto"/>
      </w:pPr>
      <w:r>
        <w:rPr>
          <w:rFonts w:ascii="宋体" w:hAnsi="宋体" w:eastAsia="宋体"/>
          <w:b w:val="0"/>
          <w:sz w:val="21"/>
        </w:rPr>
        <w:t>证据风险：对账单、还款承诺书虽加盖公章，但仍可能被质疑盖章人员无权代表公司；应结合后续付款、邮件往来等行为补强。</w:t>
      </w:r>
    </w:p>
    <w:p>
      <w:pPr>
        <w:pStyle w:val="ListBullet"/>
        <w:spacing w:line="348" w:lineRule="auto"/>
      </w:pPr>
      <w:r>
        <w:rPr>
          <w:rFonts w:ascii="宋体" w:hAnsi="宋体" w:eastAsia="宋体"/>
          <w:b w:val="0"/>
          <w:sz w:val="21"/>
        </w:rPr>
        <w:t>质量抗辩风险：被告可能补充提交质检报告、总包扣款通知等证据，需提前准备复检及因果关系抗辩。</w:t>
      </w:r>
    </w:p>
    <w:p>
      <w:pPr>
        <w:pStyle w:val="ListBullet"/>
        <w:spacing w:line="348" w:lineRule="auto"/>
      </w:pPr>
      <w:r>
        <w:rPr>
          <w:rFonts w:ascii="宋体" w:hAnsi="宋体" w:eastAsia="宋体"/>
          <w:b w:val="0"/>
          <w:sz w:val="21"/>
        </w:rPr>
        <w:t>利息调整风险：合同约定日万分之五可能被法院认定过高，应准备LPR及实际损失证据。</w:t>
      </w:r>
    </w:p>
    <w:p>
      <w:pPr>
        <w:pStyle w:val="ListBullet"/>
        <w:spacing w:line="348" w:lineRule="auto"/>
      </w:pPr>
      <w:r>
        <w:rPr>
          <w:rFonts w:ascii="宋体" w:hAnsi="宋体" w:eastAsia="宋体"/>
          <w:b w:val="0"/>
          <w:sz w:val="21"/>
        </w:rPr>
        <w:t>执行风险：即使取得胜诉判决，如被告名下无可供执行财产，回款仍存在不确定性；应尽早保全。</w:t>
      </w:r>
    </w:p>
    <w:p>
      <w:pPr>
        <w:pStyle w:val="ListBullet"/>
        <w:spacing w:line="348" w:lineRule="auto"/>
      </w:pPr>
      <w:r>
        <w:rPr>
          <w:rFonts w:ascii="宋体" w:hAnsi="宋体" w:eastAsia="宋体"/>
          <w:b w:val="0"/>
          <w:sz w:val="21"/>
        </w:rPr>
        <w:t>刑民交叉风险：刑事报案可能影响民事案件审理节奏，且合同诈骗罪要求证明非法占有目的，证据标准较高，应谨慎评估。</w:t>
      </w:r>
    </w:p>
    <w:p>
      <w:pPr>
        <w:spacing w:before="240" w:after="100"/>
      </w:pPr>
      <w:r>
        <w:rPr>
          <w:rFonts w:ascii="宋体" w:hAnsi="宋体" w:eastAsia="宋体"/>
          <w:b/>
          <w:color w:val="1E40AF"/>
          <w:sz w:val="26"/>
        </w:rPr>
        <w:t>九、可用于测试的提问</w:t>
      </w:r>
    </w:p>
    <w:p>
      <w:pPr>
        <w:ind w:firstLine="420"/>
      </w:pPr>
      <w:r>
        <w:rPr>
          <w:rFonts w:ascii="宋体" w:hAnsi="宋体" w:eastAsia="宋体"/>
          <w:b w:val="0"/>
          <w:sz w:val="21"/>
        </w:rPr>
        <w:t>上传本报告后，可尝试以下问题验证检索与意图识别：</w:t>
      </w:r>
    </w:p>
    <w:p>
      <w:pPr>
        <w:pStyle w:val="ListBullet"/>
        <w:spacing w:line="348" w:lineRule="auto"/>
      </w:pPr>
      <w:r>
        <w:rPr>
          <w:rFonts w:ascii="宋体" w:hAnsi="宋体" w:eastAsia="宋体"/>
          <w:b w:val="0"/>
          <w:sz w:val="21"/>
        </w:rPr>
        <w:t>“我的案件里，被告拖欠货款，依据《民法典》第五百七十七条，是否构成违约？”（预期：混合检索）</w:t>
      </w:r>
    </w:p>
    <w:p>
      <w:pPr>
        <w:pStyle w:val="ListBullet"/>
        <w:spacing w:line="348" w:lineRule="auto"/>
      </w:pPr>
      <w:r>
        <w:rPr>
          <w:rFonts w:ascii="宋体" w:hAnsi="宋体" w:eastAsia="宋体"/>
          <w:b w:val="0"/>
          <w:sz w:val="21"/>
        </w:rPr>
        <w:t>“结合我的案件和《刑法》第二百二十四条，分析被告是否可能构成合同诈骗？”（预期：混合检索）</w:t>
      </w:r>
    </w:p>
    <w:p>
      <w:pPr>
        <w:pStyle w:val="ListBullet"/>
        <w:spacing w:line="348" w:lineRule="auto"/>
      </w:pPr>
      <w:r>
        <w:rPr>
          <w:rFonts w:ascii="宋体" w:hAnsi="宋体" w:eastAsia="宋体"/>
          <w:b w:val="0"/>
          <w:sz w:val="21"/>
        </w:rPr>
        <w:t>“我的案件逾期付款利息应该从哪天开始计算？”（预期：私人案件检索）</w:t>
      </w:r>
    </w:p>
    <w:p>
      <w:pPr>
        <w:pStyle w:val="ListBullet"/>
        <w:spacing w:line="348" w:lineRule="auto"/>
      </w:pPr>
      <w:r>
        <w:rPr>
          <w:rFonts w:ascii="宋体" w:hAnsi="宋体" w:eastAsia="宋体"/>
          <w:b w:val="0"/>
          <w:sz w:val="21"/>
        </w:rPr>
        <w:t>“《民法典》第六百二十六条对买受人付款义务是怎么规定的？”（预期：法典检索）</w:t>
      </w:r>
    </w:p>
    <w:p>
      <w:pPr>
        <w:spacing w:before="160" w:after="160"/>
        <w:ind w:left="240" w:right="240"/>
        <w:jc w:val="left"/>
      </w:pPr>
      <w:r>
        <w:rPr>
          <w:rFonts w:ascii="宋体" w:hAnsi="宋体" w:eastAsia="宋体"/>
          <w:b w:val="0"/>
          <w:color w:val="78350F"/>
          <w:sz w:val="18"/>
        </w:rPr>
        <w:t>附：本报告为系统功能测试样例，所有人物、公司、案号、金额、地址、联系方式均为虚构；报告中的法律分析仅用于演示检索效果，不构成正式法律意见。</w:t>
      </w:r>
    </w:p>
    <w:sectPr w:rsidR="00FC693F" w:rsidRPr="0006063C" w:rsidSect="00034616">
      <w:pgSz w:w="12240" w:h="15840"/>
      <w:pgMar w:top="1080" w:right="1280" w:bottom="10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买卖合同纠纷案件分析报告（测试样例）</dc:title>
  <dc:subject>律法知识检索系统私人案件文档测试样例</dc:subject>
  <dc:creator>Law RAG System Test</dc:creator>
  <cp:keywords>私人案件,买卖合同,民法典,刑法,合同诈骗,混合检索</cp:keywords>
  <dc:description>generated by python-docx</dc:description>
  <cp:lastModifiedBy/>
  <cp:revision>1</cp:revision>
  <dcterms:created xsi:type="dcterms:W3CDTF">2013-12-23T23:15:00Z</dcterms:created>
  <dcterms:modified xsi:type="dcterms:W3CDTF">2013-12-23T23:15:00Z</dcterms:modified>
  <cp:category/>
</cp:coreProperties>
</file>