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F6F78"/>
          <w:sz w:val="108"/>
        </w:rPr>
        <w:t>OPALE</w:t>
      </w:r>
    </w:p>
    <w:p>
      <w:pPr>
        <w:jc w:val="center"/>
      </w:pPr>
      <w:r>
        <w:rPr>
          <w:i/>
          <w:color w:val="6C5CE7"/>
          <w:sz w:val="30"/>
        </w:rPr>
        <w:t>Application personnelle de gestion de patrimoine</w:t>
      </w:r>
    </w:p>
    <w:p>
      <w:pPr>
        <w:jc w:val="center"/>
      </w:pPr>
      <w:r>
        <w:rPr>
          <w:color w:val="5B6670"/>
          <w:sz w:val="26"/>
        </w:rPr>
        <w:t>Cahier des charges fonctionnel et technique détaillé</w:t>
      </w:r>
    </w:p>
    <w:p/>
    <w:p/>
    <w:p>
      <w:pPr>
        <w:jc w:val="center"/>
      </w:pPr>
      <w:r>
        <w:rPr>
          <w:i/>
          <w:color w:val="1F2A37"/>
          <w:sz w:val="24"/>
        </w:rPr>
        <w:t>« Pas où est parti mon argent ce mois-ci, mais combien je vaux, et où je vais. »</w:t>
      </w:r>
    </w:p>
    <w:p/>
    <w:p/>
    <w:p/>
    <w:p/>
    <w:p/>
    <w:p/>
    <w:tbl>
      <w:tblPr>
        <w:tblW w:type="auto" w:w="0"/>
        <w:jc w:val="center"/>
        <w:tblLook w:firstColumn="1" w:firstRow="1" w:lastColumn="0" w:lastRow="0" w:noHBand="0" w:noVBand="1" w:val="04A0"/>
      </w:tblPr>
      <w:tblGrid>
        <w:gridCol w:w="4873"/>
        <w:gridCol w:w="4873"/>
      </w:tblGrid>
      <w:tr>
        <w:tc>
          <w:tcPr>
            <w:tcW w:type="dxa" w:w="2551"/>
            <w:tcMar>
              <w:top w:w="60" w:type="dxa"/>
              <w:bottom w:w="60" w:type="dxa"/>
              <w:start w:w="100" w:type="dxa"/>
              <w:end w:w="100" w:type="dxa"/>
            </w:tcMar>
          </w:tcPr>
          <w:p>
            <w:r/>
            <w:r>
              <w:rPr>
                <w:rFonts w:ascii="Calibri" w:hAnsi="Calibri"/>
                <w:b/>
                <w:color w:val="1F6F78"/>
                <w:sz w:val="21"/>
              </w:rPr>
              <w:t>Version</w:t>
            </w:r>
          </w:p>
        </w:tc>
        <w:tc>
          <w:tcPr>
            <w:tcW w:type="dxa" w:w="6236"/>
            <w:tcMar>
              <w:top w:w="60" w:type="dxa"/>
              <w:bottom w:w="60" w:type="dxa"/>
              <w:start w:w="100" w:type="dxa"/>
              <w:end w:w="100" w:type="dxa"/>
            </w:tcMar>
          </w:tcPr>
          <w:p>
            <w:r/>
            <w:r>
              <w:rPr>
                <w:rFonts w:ascii="Calibri" w:hAnsi="Calibri"/>
                <w:b w:val="0"/>
                <w:sz w:val="21"/>
              </w:rPr>
              <w:t>2.0</w:t>
            </w:r>
          </w:p>
        </w:tc>
      </w:tr>
      <w:tr>
        <w:tc>
          <w:tcPr>
            <w:tcW w:type="dxa" w:w="2551"/>
            <w:tcMar>
              <w:top w:w="60" w:type="dxa"/>
              <w:bottom w:w="60" w:type="dxa"/>
              <w:start w:w="100" w:type="dxa"/>
              <w:end w:w="100" w:type="dxa"/>
            </w:tcMar>
          </w:tcPr>
          <w:p>
            <w:r/>
            <w:r>
              <w:rPr>
                <w:rFonts w:ascii="Calibri" w:hAnsi="Calibri"/>
                <w:b/>
                <w:color w:val="1F6F78"/>
                <w:sz w:val="21"/>
              </w:rPr>
              <w:t>Date</w:t>
            </w:r>
          </w:p>
        </w:tc>
        <w:tc>
          <w:tcPr>
            <w:tcW w:type="dxa" w:w="6236"/>
            <w:tcMar>
              <w:top w:w="60" w:type="dxa"/>
              <w:bottom w:w="60" w:type="dxa"/>
              <w:start w:w="100" w:type="dxa"/>
              <w:end w:w="100" w:type="dxa"/>
            </w:tcMar>
          </w:tcPr>
          <w:p>
            <w:r/>
            <w:r>
              <w:rPr>
                <w:rFonts w:ascii="Calibri" w:hAnsi="Calibri"/>
                <w:b w:val="0"/>
                <w:sz w:val="21"/>
              </w:rPr>
              <w:t>15 juin 2026</w:t>
            </w:r>
          </w:p>
        </w:tc>
      </w:tr>
      <w:tr>
        <w:tc>
          <w:tcPr>
            <w:tcW w:type="dxa" w:w="2551"/>
            <w:tcMar>
              <w:top w:w="60" w:type="dxa"/>
              <w:bottom w:w="60" w:type="dxa"/>
              <w:start w:w="100" w:type="dxa"/>
              <w:end w:w="100" w:type="dxa"/>
            </w:tcMar>
          </w:tcPr>
          <w:p>
            <w:r/>
            <w:r>
              <w:rPr>
                <w:rFonts w:ascii="Calibri" w:hAnsi="Calibri"/>
                <w:b/>
                <w:color w:val="1F6F78"/>
                <w:sz w:val="21"/>
              </w:rPr>
              <w:t>Statut</w:t>
            </w:r>
          </w:p>
        </w:tc>
        <w:tc>
          <w:tcPr>
            <w:tcW w:type="dxa" w:w="6236"/>
            <w:tcMar>
              <w:top w:w="60" w:type="dxa"/>
              <w:bottom w:w="60" w:type="dxa"/>
              <w:start w:w="100" w:type="dxa"/>
              <w:end w:w="100" w:type="dxa"/>
            </w:tcMar>
          </w:tcPr>
          <w:p>
            <w:r/>
            <w:r>
              <w:rPr>
                <w:rFonts w:ascii="Calibri" w:hAnsi="Calibri"/>
                <w:b w:val="0"/>
                <w:sz w:val="21"/>
              </w:rPr>
              <w:t>Conception validée — palier P0 (Fondations) réalisé</w:t>
            </w:r>
          </w:p>
        </w:tc>
      </w:tr>
      <w:tr>
        <w:tc>
          <w:tcPr>
            <w:tcW w:type="dxa" w:w="2551"/>
            <w:tcMar>
              <w:top w:w="60" w:type="dxa"/>
              <w:bottom w:w="60" w:type="dxa"/>
              <w:start w:w="100" w:type="dxa"/>
              <w:end w:w="100" w:type="dxa"/>
            </w:tcMar>
          </w:tcPr>
          <w:p>
            <w:r/>
            <w:r>
              <w:rPr>
                <w:rFonts w:ascii="Calibri" w:hAnsi="Calibri"/>
                <w:b/>
                <w:color w:val="1F6F78"/>
                <w:sz w:val="21"/>
              </w:rPr>
              <w:t>Auteur</w:t>
            </w:r>
          </w:p>
        </w:tc>
        <w:tc>
          <w:tcPr>
            <w:tcW w:type="dxa" w:w="6236"/>
            <w:tcMar>
              <w:top w:w="60" w:type="dxa"/>
              <w:bottom w:w="60" w:type="dxa"/>
              <w:start w:w="100" w:type="dxa"/>
              <w:end w:w="100" w:type="dxa"/>
            </w:tcMar>
          </w:tcPr>
          <w:p>
            <w:r/>
            <w:r>
              <w:rPr>
                <w:rFonts w:ascii="Calibri" w:hAnsi="Calibri"/>
                <w:b w:val="0"/>
                <w:sz w:val="21"/>
              </w:rPr>
              <w:t>Adam — Product Owner (réalisation assistée par IA, Claude Fable 5)</w:t>
            </w:r>
          </w:p>
        </w:tc>
      </w:tr>
      <w:tr>
        <w:tc>
          <w:tcPr>
            <w:tcW w:type="dxa" w:w="2551"/>
            <w:tcMar>
              <w:top w:w="60" w:type="dxa"/>
              <w:bottom w:w="60" w:type="dxa"/>
              <w:start w:w="100" w:type="dxa"/>
              <w:end w:w="100" w:type="dxa"/>
            </w:tcMar>
          </w:tcPr>
          <w:p>
            <w:r/>
            <w:r>
              <w:rPr>
                <w:rFonts w:ascii="Calibri" w:hAnsi="Calibri"/>
                <w:b/>
                <w:color w:val="1F6F78"/>
                <w:sz w:val="21"/>
              </w:rPr>
              <w:t>Confidentialité</w:t>
            </w:r>
          </w:p>
        </w:tc>
        <w:tc>
          <w:tcPr>
            <w:tcW w:type="dxa" w:w="6236"/>
            <w:tcMar>
              <w:top w:w="60" w:type="dxa"/>
              <w:bottom w:w="60" w:type="dxa"/>
              <w:start w:w="100" w:type="dxa"/>
              <w:end w:w="100" w:type="dxa"/>
            </w:tcMar>
          </w:tcPr>
          <w:p>
            <w:r/>
            <w:r>
              <w:rPr>
                <w:rFonts w:ascii="Calibri" w:hAnsi="Calibri"/>
                <w:b w:val="0"/>
                <w:sz w:val="21"/>
              </w:rPr>
              <w:t>Document interne — usage privé</w:t>
            </w:r>
          </w:p>
        </w:tc>
      </w:tr>
    </w:tbl>
    <w:p>
      <w:r>
        <w:br w:type="page"/>
      </w:r>
    </w:p>
    <w:p>
      <w:pPr>
        <w:pStyle w:val="Heading1"/>
      </w:pPr>
      <w:r>
        <w:t>Sommaire</w:t>
      </w:r>
    </w:p>
    <w:p>
      <w:r>
        <w:fldChar w:fldCharType="begin"/>
      </w:r>
      <w:r>
        <w:instrText xml:space="preserve">TOC \o "1-3" \h \z \u</w:instrText>
      </w:r>
      <w:r>
        <w:fldChar w:fldCharType="separate"/>
      </w:r>
      <w:r>
        <w:t>…</w:t>
      </w:r>
      <w:r>
        <w:fldChar w:fldCharType="end"/>
      </w:r>
    </w:p>
    <w:p>
      <w:r>
        <w:br w:type="page"/>
      </w:r>
    </w:p>
    <w:p>
      <w:pPr>
        <w:pStyle w:val="Heading1"/>
      </w:pPr>
      <w:r>
        <w:t>1. Préambule et objet du document</w:t>
      </w:r>
    </w:p>
    <w:p>
      <w:pPr>
        <w:spacing w:after="120"/>
      </w:pPr>
      <w:r>
        <w:rPr>
          <w:i w:val="0"/>
        </w:rPr>
        <w:t>Le présent document constitue le cahier des charges complet du projet Opale. Il a valeur de référence contractuelle entre le porteur du projet (product owner) et l'exécution, principalement assurée par une intelligence artificielle agissant comme équipe de réalisation. Il décrit le pourquoi (vision, objectifs), le quoi (périmètre fonctionnel détaillé) et le comment (architecture, contraintes, qualité, jalons).</w:t>
      </w:r>
    </w:p>
    <w:p>
      <w:pPr>
        <w:spacing w:after="120"/>
      </w:pPr>
      <w:r>
        <w:rPr>
          <w:i w:val="0"/>
        </w:rPr>
        <w:t>Il est conçu pour être lu de deux manières : de façon linéaire pour comprendre la vision d'ensemble et sa déclinaison, ou de façon ciblée en se rendant directement à la fiche d'une fonctionnalité grâce au sommaire et aux identifiants stables (EF-xxx, EIA-xxx, ENF-xxx). Chaque exigence porte un identifiant unique, une priorité MoSCoW et un palier de livraison, afin de tracer sans ambiguïté ce qui est attendu et quand.</w:t>
      </w:r>
    </w:p>
    <w:p>
      <w:pPr>
        <w:spacing w:after="120"/>
      </w:pPr>
      <w:r>
        <w:rPr>
          <w:i w:val="0"/>
        </w:rPr>
        <w:t>Toute évolution du périmètre doit passer par une mise à jour de ce document et de son historique de versions. Les décisions tranchées y sont consignées ; les décisions ouvertes sont explicitement signalées comme telles.</w:t>
      </w:r>
    </w:p>
    <w:p>
      <w:pPr>
        <w:pStyle w:val="Heading2"/>
      </w:pPr>
      <w:r>
        <w:t>1.1 Note de lecture et conventions</w:t>
      </w:r>
    </w:p>
    <w:p>
      <w:pPr>
        <w:pStyle w:val="ListBullet"/>
        <w:spacing w:after="40"/>
      </w:pPr>
      <w:r>
        <w:t>Priorités (méthode MoSCoW) : M (Must, indispensable au socle), S (Should, important mais non bloquant), C (Could, souhaitable si le temps le permet), W (Won't now, hors périmètre initial, conservé pour mémoire).</w:t>
      </w:r>
    </w:p>
    <w:p>
      <w:pPr>
        <w:pStyle w:val="ListBullet"/>
        <w:spacing w:after="40"/>
      </w:pPr>
      <w:r>
        <w:t>Paliers de livraison : P0 à P7 (voir le chapitre Planning). Chaque palier livre une valeur utilisable et autonome.</w:t>
      </w:r>
    </w:p>
    <w:p>
      <w:pPr>
        <w:pStyle w:val="ListBullet"/>
        <w:spacing w:after="40"/>
      </w:pPr>
      <w:r>
        <w:t>Niveaux de confidentialité des données : N1 (local strict), N2 (cloud anonymisé possible), N3 (cloud interdit). Détaillés au chapitre dédié à la stratégie IA.</w:t>
      </w:r>
    </w:p>
    <w:p>
      <w:pPr>
        <w:pStyle w:val="ListBullet"/>
        <w:spacing w:after="40"/>
      </w:pPr>
      <w:r>
        <w:t>Tous les montants monétaires manipulés par le système sont des entiers exprimés en centimes. Aucune valeur financière n'est jamais stockée ni calculée en nombre à virgule flottante (règle d'or, ENF-007).</w:t>
      </w:r>
    </w:p>
    <w:p>
      <w:pPr>
        <w:pStyle w:val="Heading2"/>
      </w:pPr>
      <w:r>
        <w:t>1.2 Historique des versions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shd w:val="clear" w:fill="1F6F78"/>
            <w:tcMar>
              <w:top w:w="60" w:type="dxa"/>
              <w:bottom w:w="60" w:type="dxa"/>
              <w:start w:w="100" w:type="dxa"/>
              <w:end w:w="100" w:type="dxa"/>
            </w:tcMar>
          </w:tcPr>
          <w:p>
            <w:r/>
            <w:r>
              <w:rPr>
                <w:rFonts w:ascii="Calibri" w:hAnsi="Calibri"/>
                <w:b/>
                <w:color w:val="FFFFFF"/>
                <w:sz w:val="19"/>
              </w:rPr>
              <w:t>Version</w:t>
            </w:r>
          </w:p>
        </w:tc>
        <w:tc>
          <w:tcPr>
            <w:tcW w:type="dxa" w:w="1417"/>
            <w:shd w:val="clear" w:fill="1F6F78"/>
            <w:tcMar>
              <w:top w:w="60" w:type="dxa"/>
              <w:bottom w:w="60" w:type="dxa"/>
              <w:start w:w="100" w:type="dxa"/>
              <w:end w:w="100" w:type="dxa"/>
            </w:tcMar>
          </w:tcPr>
          <w:p>
            <w:r/>
            <w:r>
              <w:rPr>
                <w:rFonts w:ascii="Calibri" w:hAnsi="Calibri"/>
                <w:b/>
                <w:color w:val="FFFFFF"/>
                <w:sz w:val="19"/>
              </w:rPr>
              <w:t>Date</w:t>
            </w:r>
          </w:p>
        </w:tc>
        <w:tc>
          <w:tcPr>
            <w:tcW w:type="dxa" w:w="1417"/>
            <w:shd w:val="clear" w:fill="1F6F78"/>
            <w:tcMar>
              <w:top w:w="60" w:type="dxa"/>
              <w:bottom w:w="60" w:type="dxa"/>
              <w:start w:w="100" w:type="dxa"/>
              <w:end w:w="100" w:type="dxa"/>
            </w:tcMar>
          </w:tcPr>
          <w:p>
            <w:r/>
            <w:r>
              <w:rPr>
                <w:rFonts w:ascii="Calibri" w:hAnsi="Calibri"/>
                <w:b/>
                <w:color w:val="FFFFFF"/>
                <w:sz w:val="19"/>
              </w:rPr>
              <w:t>Auteur</w:t>
            </w:r>
          </w:p>
        </w:tc>
        <w:tc>
          <w:tcPr>
            <w:tcW w:type="dxa" w:w="4535"/>
            <w:shd w:val="clear" w:fill="1F6F78"/>
            <w:tcMar>
              <w:top w:w="60" w:type="dxa"/>
              <w:bottom w:w="60" w:type="dxa"/>
              <w:start w:w="100" w:type="dxa"/>
              <w:end w:w="100" w:type="dxa"/>
            </w:tcMar>
          </w:tcPr>
          <w:p>
            <w:r/>
            <w:r>
              <w:rPr>
                <w:rFonts w:ascii="Calibri" w:hAnsi="Calibri"/>
                <w:b/>
                <w:color w:val="FFFFFF"/>
                <w:sz w:val="19"/>
              </w:rPr>
              <w:t>Modifications</w:t>
            </w:r>
          </w:p>
        </w:tc>
      </w:tr>
      <w:tr>
        <w:tc>
          <w:tcPr>
            <w:tcW w:type="dxa" w:w="1134"/>
            <w:tcMar>
              <w:top w:w="60" w:type="dxa"/>
              <w:bottom w:w="60" w:type="dxa"/>
              <w:start w:w="100" w:type="dxa"/>
              <w:end w:w="100" w:type="dxa"/>
            </w:tcMar>
          </w:tcPr>
          <w:p>
            <w:r/>
            <w:r>
              <w:rPr>
                <w:rFonts w:ascii="Calibri" w:hAnsi="Calibri"/>
                <w:b w:val="0"/>
                <w:sz w:val="19"/>
              </w:rPr>
              <w:t>1.0</w:t>
            </w:r>
          </w:p>
        </w:tc>
        <w:tc>
          <w:tcPr>
            <w:tcW w:type="dxa" w:w="1417"/>
            <w:tcMar>
              <w:top w:w="60" w:type="dxa"/>
              <w:bottom w:w="60" w:type="dxa"/>
              <w:start w:w="100" w:type="dxa"/>
              <w:end w:w="100" w:type="dxa"/>
            </w:tcMar>
          </w:tcPr>
          <w:p>
            <w:r/>
            <w:r>
              <w:rPr>
                <w:rFonts w:ascii="Calibri" w:hAnsi="Calibri"/>
                <w:b w:val="0"/>
                <w:sz w:val="19"/>
              </w:rPr>
              <w:t>15/06/2026</w:t>
            </w:r>
          </w:p>
        </w:tc>
        <w:tc>
          <w:tcPr>
            <w:tcW w:type="dxa" w:w="1417"/>
            <w:tcMar>
              <w:top w:w="60" w:type="dxa"/>
              <w:bottom w:w="60" w:type="dxa"/>
              <w:start w:w="100" w:type="dxa"/>
              <w:end w:w="100" w:type="dxa"/>
            </w:tcMar>
          </w:tcPr>
          <w:p>
            <w:r/>
            <w:r>
              <w:rPr>
                <w:rFonts w:ascii="Calibri" w:hAnsi="Calibri"/>
                <w:b w:val="0"/>
                <w:sz w:val="19"/>
              </w:rPr>
              <w:t>Adam</w:t>
            </w:r>
          </w:p>
        </w:tc>
        <w:tc>
          <w:tcPr>
            <w:tcW w:type="dxa" w:w="4535"/>
            <w:tcMar>
              <w:top w:w="60" w:type="dxa"/>
              <w:bottom w:w="60" w:type="dxa"/>
              <w:start w:w="100" w:type="dxa"/>
              <w:end w:w="100" w:type="dxa"/>
            </w:tcMar>
          </w:tcPr>
          <w:p>
            <w:r/>
            <w:r>
              <w:rPr>
                <w:rFonts w:ascii="Calibri" w:hAnsi="Calibri"/>
                <w:b w:val="0"/>
                <w:sz w:val="19"/>
              </w:rPr>
              <w:t>Cahier des charges initial (synthèse de conception).</w:t>
            </w:r>
          </w:p>
        </w:tc>
      </w:tr>
      <w:tr>
        <w:tc>
          <w:tcPr>
            <w:tcW w:type="dxa" w:w="1134"/>
            <w:tcMar>
              <w:top w:w="60" w:type="dxa"/>
              <w:bottom w:w="60" w:type="dxa"/>
              <w:start w:w="100" w:type="dxa"/>
              <w:end w:w="100" w:type="dxa"/>
            </w:tcMar>
            <w:shd w:val="clear" w:fill="F6F8F9"/>
          </w:tcPr>
          <w:p>
            <w:r/>
            <w:r>
              <w:rPr>
                <w:rFonts w:ascii="Calibri" w:hAnsi="Calibri"/>
                <w:b w:val="0"/>
                <w:sz w:val="19"/>
              </w:rPr>
              <w:t>2.0</w:t>
            </w:r>
          </w:p>
        </w:tc>
        <w:tc>
          <w:tcPr>
            <w:tcW w:type="dxa" w:w="1417"/>
            <w:tcMar>
              <w:top w:w="60" w:type="dxa"/>
              <w:bottom w:w="60" w:type="dxa"/>
              <w:start w:w="100" w:type="dxa"/>
              <w:end w:w="100" w:type="dxa"/>
            </w:tcMar>
            <w:shd w:val="clear" w:fill="F6F8F9"/>
          </w:tcPr>
          <w:p>
            <w:r/>
            <w:r>
              <w:rPr>
                <w:rFonts w:ascii="Calibri" w:hAnsi="Calibri"/>
                <w:b w:val="0"/>
                <w:sz w:val="19"/>
              </w:rPr>
              <w:t>15/06/2026</w:t>
            </w:r>
          </w:p>
        </w:tc>
        <w:tc>
          <w:tcPr>
            <w:tcW w:type="dxa" w:w="1417"/>
            <w:tcMar>
              <w:top w:w="60" w:type="dxa"/>
              <w:bottom w:w="60" w:type="dxa"/>
              <w:start w:w="100" w:type="dxa"/>
              <w:end w:w="100" w:type="dxa"/>
            </w:tcMar>
            <w:shd w:val="clear" w:fill="F6F8F9"/>
          </w:tcPr>
          <w:p>
            <w:r/>
            <w:r>
              <w:rPr>
                <w:rFonts w:ascii="Calibri" w:hAnsi="Calibri"/>
                <w:b w:val="0"/>
                <w:sz w:val="19"/>
              </w:rPr>
              <w:t>Adam</w:t>
            </w:r>
          </w:p>
        </w:tc>
        <w:tc>
          <w:tcPr>
            <w:tcW w:type="dxa" w:w="4535"/>
            <w:tcMar>
              <w:top w:w="60" w:type="dxa"/>
              <w:bottom w:w="60" w:type="dxa"/>
              <w:start w:w="100" w:type="dxa"/>
              <w:end w:w="100" w:type="dxa"/>
            </w:tcMar>
            <w:shd w:val="clear" w:fill="F6F8F9"/>
          </w:tcPr>
          <w:p>
            <w:r/>
            <w:r>
              <w:rPr>
                <w:rFonts w:ascii="Calibri" w:hAnsi="Calibri"/>
                <w:b w:val="0"/>
                <w:sz w:val="19"/>
              </w:rPr>
              <w:t>Version longue et détaillée : spécification exhaustive de chaque fonctionnalité, gabarit homogène, règles de gestion, critères d'acceptation, modèle de données et architecture enrichis.</w:t>
            </w:r>
          </w:p>
        </w:tc>
      </w:tr>
    </w:tbl>
    <w:p>
      <w:pPr>
        <w:spacing w:after="120"/>
      </w:pPr>
    </w:p>
    <w:p>
      <w:pPr>
        <w:pStyle w:val="Heading1"/>
      </w:pPr>
      <w:r>
        <w:t>2. Présentation et contexte</w:t>
      </w:r>
    </w:p>
    <w:p>
      <w:pPr>
        <w:spacing w:after="120"/>
      </w:pPr>
      <w:r>
        <w:rPr>
          <w:i w:val="0"/>
        </w:rPr>
        <w:t>Opale est une application personnelle de gestion de patrimoine — et non un simple gestionnaire de budget. Là où la plupart des applications répondent à la question « où est parti mon argent ce mois-ci ? », Opale répond à une question plus structurante : « combien je vaux aujourd'hui, et où je vais ? ». L'écran d'accueil n'affiche pas le solde d'un compte courant mais le patrimoine net (actifs moins dettes) et sa trajectoire dans le temps.</w:t>
      </w:r>
    </w:p>
    <w:p>
      <w:pPr>
        <w:spacing w:after="120"/>
      </w:pPr>
      <w:r>
        <w:rPr>
          <w:i w:val="0"/>
        </w:rPr>
        <w:t>Le produit est auto-hébergé sur le homelab de l'utilisateur. Il vise à dépasser les applications du marché (Bankin', Linxo, Monarch, Copilot, Empower) en réunissant trois qualités qu'aucune ne combine simultanément : être beau, intelligent et privé. Cette combinaison constitue le triangle différenciateur du produit.</w:t>
      </w:r>
    </w:p>
    <w:p>
      <w:pPr>
        <w:spacing w:after="120"/>
      </w:pPr>
      <w:r>
        <w:rPr>
          <w:i w:val="0"/>
        </w:rPr>
        <w:t>Opale est réalisé principalement par intelligence artificielle (Claude Fable 5), l'utilisateur agissant comme product owner et directeur de projet. Les cibles sont une application iOS native (SwiftUI) et une application Web, partageant un backend commun écrit en Go, avec une stratégie d'IA hybride en cascade (iPhone local, homelab GPU, cloud premium) et un moteur financier déterministe garant de l'exactitude des chiffres.</w:t>
      </w:r>
    </w:p>
    <w:p>
      <w:pPr>
        <w:pStyle w:val="Heading2"/>
      </w:pPr>
      <w:r>
        <w:t>2.1 Objectifs</w:t>
      </w:r>
    </w:p>
    <w:tbl>
      <w:tblPr>
        <w:tblStyle w:val="TableGrid"/>
        <w:tblW w:type="auto" w:w="0"/>
        <w:jc w:val="center"/>
        <w:tblLook w:firstColumn="1" w:firstRow="1" w:lastColumn="0" w:lastRow="0" w:noHBand="0" w:noVBand="1" w:val="04A0"/>
      </w:tblPr>
      <w:tblGrid>
        <w:gridCol w:w="4873"/>
        <w:gridCol w:w="4873"/>
      </w:tblGrid>
      <w:tr>
        <w:tc>
          <w:tcPr>
            <w:tcW w:type="dxa" w:w="1134"/>
            <w:shd w:val="clear" w:fill="1F6F78"/>
            <w:tcMar>
              <w:top w:w="60" w:type="dxa"/>
              <w:bottom w:w="60" w:type="dxa"/>
              <w:start w:w="100" w:type="dxa"/>
              <w:end w:w="100" w:type="dxa"/>
            </w:tcMar>
          </w:tcPr>
          <w:p>
            <w:r/>
            <w:r>
              <w:rPr>
                <w:rFonts w:ascii="Calibri" w:hAnsi="Calibri"/>
                <w:b/>
                <w:color w:val="FFFFFF"/>
                <w:sz w:val="19"/>
              </w:rPr>
              <w:t>ID</w:t>
            </w:r>
          </w:p>
        </w:tc>
        <w:tc>
          <w:tcPr>
            <w:tcW w:type="dxa" w:w="7370"/>
            <w:shd w:val="clear" w:fill="1F6F78"/>
            <w:tcMar>
              <w:top w:w="60" w:type="dxa"/>
              <w:bottom w:w="60" w:type="dxa"/>
              <w:start w:w="100" w:type="dxa"/>
              <w:end w:w="100" w:type="dxa"/>
            </w:tcMar>
          </w:tcPr>
          <w:p>
            <w:r/>
            <w:r>
              <w:rPr>
                <w:rFonts w:ascii="Calibri" w:hAnsi="Calibri"/>
                <w:b/>
                <w:color w:val="FFFFFF"/>
                <w:sz w:val="19"/>
              </w:rPr>
              <w:t>Objectif</w:t>
            </w:r>
          </w:p>
        </w:tc>
      </w:tr>
      <w:tr>
        <w:tc>
          <w:tcPr>
            <w:tcW w:type="dxa" w:w="1134"/>
            <w:tcMar>
              <w:top w:w="60" w:type="dxa"/>
              <w:bottom w:w="60" w:type="dxa"/>
              <w:start w:w="100" w:type="dxa"/>
              <w:end w:w="100" w:type="dxa"/>
            </w:tcMar>
          </w:tcPr>
          <w:p>
            <w:r/>
            <w:r>
              <w:rPr>
                <w:rFonts w:ascii="Calibri" w:hAnsi="Calibri"/>
                <w:b w:val="0"/>
                <w:sz w:val="19"/>
              </w:rPr>
              <w:t>O1</w:t>
            </w:r>
          </w:p>
        </w:tc>
        <w:tc>
          <w:tcPr>
            <w:tcW w:type="dxa" w:w="7370"/>
            <w:tcMar>
              <w:top w:w="60" w:type="dxa"/>
              <w:bottom w:w="60" w:type="dxa"/>
              <w:start w:w="100" w:type="dxa"/>
              <w:end w:w="100" w:type="dxa"/>
            </w:tcMar>
          </w:tcPr>
          <w:p>
            <w:r/>
            <w:r>
              <w:rPr>
                <w:rFonts w:ascii="Calibri" w:hAnsi="Calibri"/>
                <w:b w:val="0"/>
                <w:sz w:val="19"/>
              </w:rPr>
              <w:t>Afficher et faire grandir le patrimoine net (actifs − dettes) et rendre sa trajectoire lisible dans le temps.</w:t>
            </w:r>
          </w:p>
        </w:tc>
      </w:tr>
      <w:tr>
        <w:tc>
          <w:tcPr>
            <w:tcW w:type="dxa" w:w="1134"/>
            <w:tcMar>
              <w:top w:w="60" w:type="dxa"/>
              <w:bottom w:w="60" w:type="dxa"/>
              <w:start w:w="100" w:type="dxa"/>
              <w:end w:w="100" w:type="dxa"/>
            </w:tcMar>
            <w:shd w:val="clear" w:fill="F6F8F9"/>
          </w:tcPr>
          <w:p>
            <w:r/>
            <w:r>
              <w:rPr>
                <w:rFonts w:ascii="Calibri" w:hAnsi="Calibri"/>
                <w:b w:val="0"/>
                <w:sz w:val="19"/>
              </w:rPr>
              <w:t>O2</w:t>
            </w:r>
          </w:p>
        </w:tc>
        <w:tc>
          <w:tcPr>
            <w:tcW w:type="dxa" w:w="7370"/>
            <w:tcMar>
              <w:top w:w="60" w:type="dxa"/>
              <w:bottom w:w="60" w:type="dxa"/>
              <w:start w:w="100" w:type="dxa"/>
              <w:end w:w="100" w:type="dxa"/>
            </w:tcMar>
            <w:shd w:val="clear" w:fill="F6F8F9"/>
          </w:tcPr>
          <w:p>
            <w:r/>
            <w:r>
              <w:rPr>
                <w:rFonts w:ascii="Calibri" w:hAnsi="Calibri"/>
                <w:b w:val="0"/>
                <w:sz w:val="19"/>
              </w:rPr>
              <w:t>Aider à piloter sa vie financière (enveloppes, objectifs, projections) et à décider (Mode Décision).</w:t>
            </w:r>
          </w:p>
        </w:tc>
      </w:tr>
      <w:tr>
        <w:tc>
          <w:tcPr>
            <w:tcW w:type="dxa" w:w="1134"/>
            <w:tcMar>
              <w:top w:w="60" w:type="dxa"/>
              <w:bottom w:w="60" w:type="dxa"/>
              <w:start w:w="100" w:type="dxa"/>
              <w:end w:w="100" w:type="dxa"/>
            </w:tcMar>
          </w:tcPr>
          <w:p>
            <w:r/>
            <w:r>
              <w:rPr>
                <w:rFonts w:ascii="Calibri" w:hAnsi="Calibri"/>
                <w:b w:val="0"/>
                <w:sz w:val="19"/>
              </w:rPr>
              <w:t>O3</w:t>
            </w:r>
          </w:p>
        </w:tc>
        <w:tc>
          <w:tcPr>
            <w:tcW w:type="dxa" w:w="7370"/>
            <w:tcMar>
              <w:top w:w="60" w:type="dxa"/>
              <w:bottom w:w="60" w:type="dxa"/>
              <w:start w:w="100" w:type="dxa"/>
              <w:end w:w="100" w:type="dxa"/>
            </w:tcMar>
          </w:tcPr>
          <w:p>
            <w:r/>
            <w:r>
              <w:rPr>
                <w:rFonts w:ascii="Calibri" w:hAnsi="Calibri"/>
                <w:b w:val="0"/>
                <w:sz w:val="19"/>
              </w:rPr>
              <w:t>Offrir une expérience premium : design inspiré de Revolut et du Liquid Glass iOS, animations satisfaisantes, micro-récompenses.</w:t>
            </w:r>
          </w:p>
        </w:tc>
      </w:tr>
      <w:tr>
        <w:tc>
          <w:tcPr>
            <w:tcW w:type="dxa" w:w="1134"/>
            <w:tcMar>
              <w:top w:w="60" w:type="dxa"/>
              <w:bottom w:w="60" w:type="dxa"/>
              <w:start w:w="100" w:type="dxa"/>
              <w:end w:w="100" w:type="dxa"/>
            </w:tcMar>
            <w:shd w:val="clear" w:fill="F6F8F9"/>
          </w:tcPr>
          <w:p>
            <w:r/>
            <w:r>
              <w:rPr>
                <w:rFonts w:ascii="Calibri" w:hAnsi="Calibri"/>
                <w:b w:val="0"/>
                <w:sz w:val="19"/>
              </w:rPr>
              <w:t>O4</w:t>
            </w:r>
          </w:p>
        </w:tc>
        <w:tc>
          <w:tcPr>
            <w:tcW w:type="dxa" w:w="7370"/>
            <w:tcMar>
              <w:top w:w="60" w:type="dxa"/>
              <w:bottom w:w="60" w:type="dxa"/>
              <w:start w:w="100" w:type="dxa"/>
              <w:end w:w="100" w:type="dxa"/>
            </w:tcMar>
            <w:shd w:val="clear" w:fill="F6F8F9"/>
          </w:tcPr>
          <w:p>
            <w:r/>
            <w:r>
              <w:rPr>
                <w:rFonts w:ascii="Calibri" w:hAnsi="Calibri"/>
                <w:b w:val="0"/>
                <w:sz w:val="19"/>
              </w:rPr>
              <w:t>Garantir une confidentialité maximale : données privées par défaut, IA locale d'abord, cloud anonymisé et opt-in uniquement.</w:t>
            </w:r>
          </w:p>
        </w:tc>
      </w:tr>
      <w:tr>
        <w:tc>
          <w:tcPr>
            <w:tcW w:type="dxa" w:w="1134"/>
            <w:tcMar>
              <w:top w:w="60" w:type="dxa"/>
              <w:bottom w:w="60" w:type="dxa"/>
              <w:start w:w="100" w:type="dxa"/>
              <w:end w:w="100" w:type="dxa"/>
            </w:tcMar>
          </w:tcPr>
          <w:p>
            <w:r/>
            <w:r>
              <w:rPr>
                <w:rFonts w:ascii="Calibri" w:hAnsi="Calibri"/>
                <w:b w:val="0"/>
                <w:sz w:val="19"/>
              </w:rPr>
              <w:t>O5</w:t>
            </w:r>
          </w:p>
        </w:tc>
        <w:tc>
          <w:tcPr>
            <w:tcW w:type="dxa" w:w="7370"/>
            <w:tcMar>
              <w:top w:w="60" w:type="dxa"/>
              <w:bottom w:w="60" w:type="dxa"/>
              <w:start w:w="100" w:type="dxa"/>
              <w:end w:w="100" w:type="dxa"/>
            </w:tcMar>
          </w:tcPr>
          <w:p>
            <w:r/>
            <w:r>
              <w:rPr>
                <w:rFonts w:ascii="Calibri" w:hAnsi="Calibri"/>
                <w:b w:val="0"/>
                <w:sz w:val="19"/>
              </w:rPr>
              <w:t>Rester simple par défaut, puissant si l'on creuse : les fonctions avancées sont des couches optionnelles qui n'encombrent pas l'usage courant.</w:t>
            </w:r>
          </w:p>
        </w:tc>
      </w:tr>
    </w:tbl>
    <w:p>
      <w:pPr>
        <w:spacing w:after="120"/>
      </w:pPr>
    </w:p>
    <w:p>
      <w:pPr>
        <w:pStyle w:val="Heading2"/>
      </w:pPr>
      <w:r>
        <w:t>2.2 Principes directeurs</w:t>
      </w:r>
    </w:p>
    <w:p>
      <w:pPr>
        <w:pStyle w:val="ListBullet"/>
        <w:spacing w:after="60"/>
      </w:pPr>
      <w:r>
        <w:rPr>
          <w:b/>
          <w:color w:val="1F6F78"/>
        </w:rPr>
        <w:t xml:space="preserve">Beau et simple d'abord — </w:t>
      </w:r>
      <w:r>
        <w:t>L'expérience attire. Le design (Revolut-like, Liquid Glass) et la fluidité sont des fonctionnalités à part entière, pas une décoration.</w:t>
      </w:r>
    </w:p>
    <w:p>
      <w:pPr>
        <w:pStyle w:val="ListBullet"/>
        <w:spacing w:after="60"/>
      </w:pPr>
      <w:r>
        <w:rPr>
          <w:b/>
          <w:color w:val="1F6F78"/>
        </w:rPr>
        <w:t xml:space="preserve">Intelligent et proactif dessous — </w:t>
      </w:r>
      <w:r>
        <w:t>L'IA retient l'utilisateur : Financial Twin, décisions, insights. L'intelligence est au service de la décision, pas du gadget.</w:t>
      </w:r>
    </w:p>
    <w:p>
      <w:pPr>
        <w:pStyle w:val="ListBullet"/>
        <w:spacing w:after="60"/>
      </w:pPr>
      <w:r>
        <w:rPr>
          <w:b/>
          <w:color w:val="1F6F78"/>
        </w:rPr>
        <w:t xml:space="preserve">Privé par conception — </w:t>
      </w:r>
      <w:r>
        <w:t>Les données ne quittent jamais le homelab par défaut. La confidentialité est un axe de marque, pas une option.</w:t>
      </w:r>
    </w:p>
    <w:p>
      <w:pPr>
        <w:pStyle w:val="ListBullet"/>
        <w:spacing w:after="60"/>
      </w:pPr>
      <w:r>
        <w:rPr>
          <w:b/>
          <w:color w:val="1F6F78"/>
        </w:rPr>
        <w:t xml:space="preserve">Simple par défaut, puissant si on creuse — </w:t>
      </w:r>
      <w:r>
        <w:t>Les modules avancés (immobilier, entreprise, transmission) sont des couches que l'on déplie à la demande.</w:t>
      </w:r>
    </w:p>
    <w:p>
      <w:pPr>
        <w:pStyle w:val="ListBullet"/>
        <w:spacing w:after="60"/>
      </w:pPr>
      <w:r>
        <w:rPr>
          <w:b/>
          <w:color w:val="1F6F78"/>
        </w:rPr>
        <w:t xml:space="preserve">Le chiffre est roi — </w:t>
      </w:r>
      <w:r>
        <w:t>Le patrimoine net doit être lisible en un coup d'œil, exact, et toujours issu du moteur déterministe.</w:t>
      </w:r>
    </w:p>
    <w:p>
      <w:pPr>
        <w:pStyle w:val="Heading1"/>
      </w:pPr>
      <w:r>
        <w:t>3. Positionnement et analyse concurrentielle</w:t>
      </w:r>
    </w:p>
    <w:p>
      <w:pPr>
        <w:spacing w:after="120"/>
      </w:pPr>
      <w:r>
        <w:rPr>
          <w:i w:val="0"/>
        </w:rPr>
        <w:t>Le marché des applications de finances personnelles se divise en deux familles. D'un côté, les agrégateurs de comptes (Bankin', Linxo) centrés sur le suivi de dépenses et la catégorisation, souvent financés par la revente de données ou des offres partenaires. De l'autre, les plateformes de patrimoine (Monarch, Copilot, Empower) plus complètes mais coûteuses, fermées, hébergées dans le cloud d'un tiers et centrées sur le marché nord-américain.</w:t>
      </w:r>
    </w:p>
    <w:p>
      <w:pPr>
        <w:spacing w:after="120"/>
      </w:pPr>
      <w:r>
        <w:rPr>
          <w:i w:val="0"/>
        </w:rPr>
        <w:t>Aucune de ces solutions ne réunit les trois qualités visées par Opale. Les agrégateurs sont rarement beaux et jamais privés ; les plateformes de patrimoine sont rarement self-hosted et leur intelligence reste limitée à des tableaux de bord. Opale se positionne sur l'intersection : une application aussi soignée qu'une app grand public, dotée d'une IA patrimoniale contextuelle, et entièrement privée car auto-hébergée.</w:t>
      </w:r>
    </w:p>
    <w:p>
      <w:pPr>
        <w:pStyle w:val="Heading2"/>
      </w:pPr>
      <w:r>
        <w:t>3.1 Comparatif des solutions</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fill="1F6F78"/>
            <w:tcMar>
              <w:top w:w="60" w:type="dxa"/>
              <w:bottom w:w="60" w:type="dxa"/>
              <w:start w:w="100" w:type="dxa"/>
              <w:end w:w="100" w:type="dxa"/>
            </w:tcMar>
          </w:tcPr>
          <w:p>
            <w:r/>
            <w:r>
              <w:rPr>
                <w:rFonts w:ascii="Calibri" w:hAnsi="Calibri"/>
                <w:b/>
                <w:color w:val="FFFFFF"/>
                <w:sz w:val="19"/>
              </w:rPr>
              <w:t>Solution</w:t>
            </w:r>
          </w:p>
        </w:tc>
        <w:tc>
          <w:tcPr>
            <w:tcW w:type="dxa" w:w="3061"/>
            <w:shd w:val="clear" w:fill="1F6F78"/>
            <w:tcMar>
              <w:top w:w="60" w:type="dxa"/>
              <w:bottom w:w="60" w:type="dxa"/>
              <w:start w:w="100" w:type="dxa"/>
              <w:end w:w="100" w:type="dxa"/>
            </w:tcMar>
          </w:tcPr>
          <w:p>
            <w:r/>
            <w:r>
              <w:rPr>
                <w:rFonts w:ascii="Calibri" w:hAnsi="Calibri"/>
                <w:b/>
                <w:color w:val="FFFFFF"/>
                <w:sz w:val="19"/>
              </w:rPr>
              <w:t>Forces</w:t>
            </w:r>
          </w:p>
        </w:tc>
        <w:tc>
          <w:tcPr>
            <w:tcW w:type="dxa" w:w="3628"/>
            <w:shd w:val="clear" w:fill="1F6F78"/>
            <w:tcMar>
              <w:top w:w="60" w:type="dxa"/>
              <w:bottom w:w="60" w:type="dxa"/>
              <w:start w:w="100" w:type="dxa"/>
              <w:end w:w="100" w:type="dxa"/>
            </w:tcMar>
          </w:tcPr>
          <w:p>
            <w:r/>
            <w:r>
              <w:rPr>
                <w:rFonts w:ascii="Calibri" w:hAnsi="Calibri"/>
                <w:b/>
                <w:color w:val="FFFFFF"/>
                <w:sz w:val="19"/>
              </w:rPr>
              <w:t>Limites au regard d'Opale</w:t>
            </w:r>
          </w:p>
        </w:tc>
      </w:tr>
      <w:tr>
        <w:tc>
          <w:tcPr>
            <w:tcW w:type="dxa" w:w="1814"/>
            <w:tcMar>
              <w:top w:w="60" w:type="dxa"/>
              <w:bottom w:w="60" w:type="dxa"/>
              <w:start w:w="100" w:type="dxa"/>
              <w:end w:w="100" w:type="dxa"/>
            </w:tcMar>
          </w:tcPr>
          <w:p>
            <w:r/>
            <w:r>
              <w:rPr>
                <w:rFonts w:ascii="Calibri" w:hAnsi="Calibri"/>
                <w:b w:val="0"/>
                <w:sz w:val="19"/>
              </w:rPr>
              <w:t>Bankin' / Linxo</w:t>
            </w:r>
          </w:p>
        </w:tc>
        <w:tc>
          <w:tcPr>
            <w:tcW w:type="dxa" w:w="3061"/>
            <w:tcMar>
              <w:top w:w="60" w:type="dxa"/>
              <w:bottom w:w="60" w:type="dxa"/>
              <w:start w:w="100" w:type="dxa"/>
              <w:end w:w="100" w:type="dxa"/>
            </w:tcMar>
          </w:tcPr>
          <w:p>
            <w:r/>
            <w:r>
              <w:rPr>
                <w:rFonts w:ascii="Calibri" w:hAnsi="Calibri"/>
                <w:b w:val="0"/>
                <w:sz w:val="19"/>
              </w:rPr>
              <w:t>Agrégation bancaire, catégorisation</w:t>
            </w:r>
          </w:p>
        </w:tc>
        <w:tc>
          <w:tcPr>
            <w:tcW w:type="dxa" w:w="3628"/>
            <w:tcMar>
              <w:top w:w="60" w:type="dxa"/>
              <w:bottom w:w="60" w:type="dxa"/>
              <w:start w:w="100" w:type="dxa"/>
              <w:end w:w="100" w:type="dxa"/>
            </w:tcMar>
          </w:tcPr>
          <w:p>
            <w:r/>
            <w:r>
              <w:rPr>
                <w:rFonts w:ascii="Calibri" w:hAnsi="Calibri"/>
                <w:b w:val="0"/>
                <w:sz w:val="19"/>
              </w:rPr>
              <w:t>Moches, données monétisées, pas de vision patrimoine ni de projection.</w:t>
            </w:r>
          </w:p>
        </w:tc>
      </w:tr>
      <w:tr>
        <w:tc>
          <w:tcPr>
            <w:tcW w:type="dxa" w:w="1814"/>
            <w:tcMar>
              <w:top w:w="60" w:type="dxa"/>
              <w:bottom w:w="60" w:type="dxa"/>
              <w:start w:w="100" w:type="dxa"/>
              <w:end w:w="100" w:type="dxa"/>
            </w:tcMar>
            <w:shd w:val="clear" w:fill="F6F8F9"/>
          </w:tcPr>
          <w:p>
            <w:r/>
            <w:r>
              <w:rPr>
                <w:rFonts w:ascii="Calibri" w:hAnsi="Calibri"/>
                <w:b w:val="0"/>
                <w:sz w:val="19"/>
              </w:rPr>
              <w:t>Monarch Money</w:t>
            </w:r>
          </w:p>
        </w:tc>
        <w:tc>
          <w:tcPr>
            <w:tcW w:type="dxa" w:w="3061"/>
            <w:tcMar>
              <w:top w:w="60" w:type="dxa"/>
              <w:bottom w:w="60" w:type="dxa"/>
              <w:start w:w="100" w:type="dxa"/>
              <w:end w:w="100" w:type="dxa"/>
            </w:tcMar>
            <w:shd w:val="clear" w:fill="F6F8F9"/>
          </w:tcPr>
          <w:p>
            <w:r/>
            <w:r>
              <w:rPr>
                <w:rFonts w:ascii="Calibri" w:hAnsi="Calibri"/>
                <w:b w:val="0"/>
                <w:sz w:val="19"/>
              </w:rPr>
              <w:t>Patrimoine net, objectifs, budgets</w:t>
            </w:r>
          </w:p>
        </w:tc>
        <w:tc>
          <w:tcPr>
            <w:tcW w:type="dxa" w:w="3628"/>
            <w:tcMar>
              <w:top w:w="60" w:type="dxa"/>
              <w:bottom w:w="60" w:type="dxa"/>
              <w:start w:w="100" w:type="dxa"/>
              <w:end w:w="100" w:type="dxa"/>
            </w:tcMar>
            <w:shd w:val="clear" w:fill="F6F8F9"/>
          </w:tcPr>
          <w:p>
            <w:r/>
            <w:r>
              <w:rPr>
                <w:rFonts w:ascii="Calibri" w:hAnsi="Calibri"/>
                <w:b w:val="0"/>
                <w:sz w:val="19"/>
              </w:rPr>
              <w:t>Cloud tiers, payant, pas de confidentialité forte, pas d'IA locale.</w:t>
            </w:r>
          </w:p>
        </w:tc>
      </w:tr>
      <w:tr>
        <w:tc>
          <w:tcPr>
            <w:tcW w:type="dxa" w:w="1814"/>
            <w:tcMar>
              <w:top w:w="60" w:type="dxa"/>
              <w:bottom w:w="60" w:type="dxa"/>
              <w:start w:w="100" w:type="dxa"/>
              <w:end w:w="100" w:type="dxa"/>
            </w:tcMar>
          </w:tcPr>
          <w:p>
            <w:r/>
            <w:r>
              <w:rPr>
                <w:rFonts w:ascii="Calibri" w:hAnsi="Calibri"/>
                <w:b w:val="0"/>
                <w:sz w:val="19"/>
              </w:rPr>
              <w:t>Copilot Money</w:t>
            </w:r>
          </w:p>
        </w:tc>
        <w:tc>
          <w:tcPr>
            <w:tcW w:type="dxa" w:w="3061"/>
            <w:tcMar>
              <w:top w:w="60" w:type="dxa"/>
              <w:bottom w:w="60" w:type="dxa"/>
              <w:start w:w="100" w:type="dxa"/>
              <w:end w:w="100" w:type="dxa"/>
            </w:tcMar>
          </w:tcPr>
          <w:p>
            <w:r/>
            <w:r>
              <w:rPr>
                <w:rFonts w:ascii="Calibri" w:hAnsi="Calibri"/>
                <w:b w:val="0"/>
                <w:sz w:val="19"/>
              </w:rPr>
              <w:t>Design soigné, catégorisation IA</w:t>
            </w:r>
          </w:p>
        </w:tc>
        <w:tc>
          <w:tcPr>
            <w:tcW w:type="dxa" w:w="3628"/>
            <w:tcMar>
              <w:top w:w="60" w:type="dxa"/>
              <w:bottom w:w="60" w:type="dxa"/>
              <w:start w:w="100" w:type="dxa"/>
              <w:end w:w="100" w:type="dxa"/>
            </w:tcMar>
          </w:tcPr>
          <w:p>
            <w:r/>
            <w:r>
              <w:rPr>
                <w:rFonts w:ascii="Calibri" w:hAnsi="Calibri"/>
                <w:b w:val="0"/>
                <w:sz w:val="19"/>
              </w:rPr>
              <w:t>iOS/US uniquement, cloud, pas self-hosted, pas de moteur de décision.</w:t>
            </w:r>
          </w:p>
        </w:tc>
      </w:tr>
      <w:tr>
        <w:tc>
          <w:tcPr>
            <w:tcW w:type="dxa" w:w="1814"/>
            <w:tcMar>
              <w:top w:w="60" w:type="dxa"/>
              <w:bottom w:w="60" w:type="dxa"/>
              <w:start w:w="100" w:type="dxa"/>
              <w:end w:w="100" w:type="dxa"/>
            </w:tcMar>
            <w:shd w:val="clear" w:fill="F6F8F9"/>
          </w:tcPr>
          <w:p>
            <w:r/>
            <w:r>
              <w:rPr>
                <w:rFonts w:ascii="Calibri" w:hAnsi="Calibri"/>
                <w:b w:val="0"/>
                <w:sz w:val="19"/>
              </w:rPr>
              <w:t>Empower (Personal Capital)</w:t>
            </w:r>
          </w:p>
        </w:tc>
        <w:tc>
          <w:tcPr>
            <w:tcW w:type="dxa" w:w="3061"/>
            <w:tcMar>
              <w:top w:w="60" w:type="dxa"/>
              <w:bottom w:w="60" w:type="dxa"/>
              <w:start w:w="100" w:type="dxa"/>
              <w:end w:w="100" w:type="dxa"/>
            </w:tcMar>
            <w:shd w:val="clear" w:fill="F6F8F9"/>
          </w:tcPr>
          <w:p>
            <w:r/>
            <w:r>
              <w:rPr>
                <w:rFonts w:ascii="Calibri" w:hAnsi="Calibri"/>
                <w:b w:val="0"/>
                <w:sz w:val="19"/>
              </w:rPr>
              <w:t>Suivi de patrimoine et placements</w:t>
            </w:r>
          </w:p>
        </w:tc>
        <w:tc>
          <w:tcPr>
            <w:tcW w:type="dxa" w:w="3628"/>
            <w:tcMar>
              <w:top w:w="60" w:type="dxa"/>
              <w:bottom w:w="60" w:type="dxa"/>
              <w:start w:w="100" w:type="dxa"/>
              <w:end w:w="100" w:type="dxa"/>
            </w:tcMar>
            <w:shd w:val="clear" w:fill="F6F8F9"/>
          </w:tcPr>
          <w:p>
            <w:r/>
            <w:r>
              <w:rPr>
                <w:rFonts w:ascii="Calibri" w:hAnsi="Calibri"/>
                <w:b w:val="0"/>
                <w:sz w:val="19"/>
              </w:rPr>
              <w:t>Orienté vente de conseil, marché US, pas privé.</w:t>
            </w:r>
          </w:p>
        </w:tc>
      </w:tr>
      <w:tr>
        <w:tc>
          <w:tcPr>
            <w:tcW w:type="dxa" w:w="1814"/>
            <w:tcMar>
              <w:top w:w="60" w:type="dxa"/>
              <w:bottom w:w="60" w:type="dxa"/>
              <w:start w:w="100" w:type="dxa"/>
              <w:end w:w="100" w:type="dxa"/>
            </w:tcMar>
          </w:tcPr>
          <w:p>
            <w:r/>
            <w:r>
              <w:rPr>
                <w:rFonts w:ascii="Calibri" w:hAnsi="Calibri"/>
                <w:b w:val="0"/>
                <w:sz w:val="19"/>
              </w:rPr>
              <w:t>Revolut</w:t>
            </w:r>
          </w:p>
        </w:tc>
        <w:tc>
          <w:tcPr>
            <w:tcW w:type="dxa" w:w="3061"/>
            <w:tcMar>
              <w:top w:w="60" w:type="dxa"/>
              <w:bottom w:w="60" w:type="dxa"/>
              <w:start w:w="100" w:type="dxa"/>
              <w:end w:w="100" w:type="dxa"/>
            </w:tcMar>
          </w:tcPr>
          <w:p>
            <w:r/>
            <w:r>
              <w:rPr>
                <w:rFonts w:ascii="Calibri" w:hAnsi="Calibri"/>
                <w:b w:val="0"/>
                <w:sz w:val="19"/>
              </w:rPr>
              <w:t>Design et fluidité de référence</w:t>
            </w:r>
          </w:p>
        </w:tc>
        <w:tc>
          <w:tcPr>
            <w:tcW w:type="dxa" w:w="3628"/>
            <w:tcMar>
              <w:top w:w="60" w:type="dxa"/>
              <w:bottom w:w="60" w:type="dxa"/>
              <w:start w:w="100" w:type="dxa"/>
              <w:end w:w="100" w:type="dxa"/>
            </w:tcMar>
          </w:tcPr>
          <w:p>
            <w:r/>
            <w:r>
              <w:rPr>
                <w:rFonts w:ascii="Calibri" w:hAnsi="Calibri"/>
                <w:b w:val="0"/>
                <w:sz w:val="19"/>
              </w:rPr>
              <w:t>Néobanque, pas un outil de patrimoine ; sert de modèle d'expérience, pas de fonctionnalités.</w:t>
            </w:r>
          </w:p>
        </w:tc>
      </w:tr>
      <w:tr>
        <w:tc>
          <w:tcPr>
            <w:tcW w:type="dxa" w:w="1814"/>
            <w:tcMar>
              <w:top w:w="60" w:type="dxa"/>
              <w:bottom w:w="60" w:type="dxa"/>
              <w:start w:w="100" w:type="dxa"/>
              <w:end w:w="100" w:type="dxa"/>
            </w:tcMar>
            <w:shd w:val="clear" w:fill="F6F8F9"/>
          </w:tcPr>
          <w:p>
            <w:r/>
            <w:r>
              <w:rPr>
                <w:rFonts w:ascii="Calibri" w:hAnsi="Calibri"/>
                <w:b w:val="0"/>
                <w:sz w:val="19"/>
              </w:rPr>
              <w:t>Opale</w:t>
            </w:r>
          </w:p>
        </w:tc>
        <w:tc>
          <w:tcPr>
            <w:tcW w:type="dxa" w:w="3061"/>
            <w:tcMar>
              <w:top w:w="60" w:type="dxa"/>
              <w:bottom w:w="60" w:type="dxa"/>
              <w:start w:w="100" w:type="dxa"/>
              <w:end w:w="100" w:type="dxa"/>
            </w:tcMar>
            <w:shd w:val="clear" w:fill="F6F8F9"/>
          </w:tcPr>
          <w:p>
            <w:r/>
            <w:r>
              <w:rPr>
                <w:rFonts w:ascii="Calibri" w:hAnsi="Calibri"/>
                <w:b w:val="0"/>
                <w:sz w:val="19"/>
              </w:rPr>
              <w:t>Patrimoine + IA + privé + beau</w:t>
            </w:r>
          </w:p>
        </w:tc>
        <w:tc>
          <w:tcPr>
            <w:tcW w:type="dxa" w:w="3628"/>
            <w:tcMar>
              <w:top w:w="60" w:type="dxa"/>
              <w:bottom w:w="60" w:type="dxa"/>
              <w:start w:w="100" w:type="dxa"/>
              <w:end w:w="100" w:type="dxa"/>
            </w:tcMar>
            <w:shd w:val="clear" w:fill="F6F8F9"/>
          </w:tcPr>
          <w:p>
            <w:r/>
            <w:r>
              <w:rPr>
                <w:rFonts w:ascii="Calibri" w:hAnsi="Calibri"/>
                <w:b w:val="0"/>
                <w:sz w:val="19"/>
              </w:rPr>
              <w:t>La cible : combine les forces, élimine les faiblesses, au prix d'un périmètre ambitieux maîtrisé par paliers.</w:t>
            </w:r>
          </w:p>
        </w:tc>
      </w:tr>
    </w:tbl>
    <w:p>
      <w:pPr>
        <w:spacing w:after="120"/>
      </w:pPr>
    </w:p>
    <w:p>
      <w:pPr>
        <w:pStyle w:val="Heading1"/>
      </w:pPr>
      <w:r>
        <w:t>4. Parties prenantes et personas</w:t>
      </w:r>
    </w:p>
    <w:p>
      <w:pPr>
        <w:pStyle w:val="Heading3"/>
      </w:pPr>
      <w:r>
        <w:t>Adam — utilisateur principal</w:t>
      </w:r>
    </w:p>
    <w:p>
      <w:pPr>
        <w:spacing w:after="120"/>
      </w:pPr>
      <w:r>
        <w:rPr>
          <w:i w:val="0"/>
        </w:rPr>
        <w:t>Étudiant en DevOps, technophile, possède un homelab et une carte graphique RTX. Gère plusieurs actifs (comptes, livrets, PEA, crypto) et veut piloter sa trajectoire patrimoniale.</w:t>
      </w:r>
    </w:p>
    <w:p>
      <w:pPr>
        <w:spacing w:before="80" w:after="20"/>
      </w:pPr>
      <w:r>
        <w:rPr>
          <w:b/>
          <w:color w:val="1F6F78"/>
          <w:sz w:val="21"/>
        </w:rPr>
        <w:t>Besoins clés</w:t>
      </w:r>
    </w:p>
    <w:p>
      <w:pPr>
        <w:pStyle w:val="ListBullet"/>
        <w:spacing w:after="40"/>
      </w:pPr>
      <w:r>
        <w:t>Voir son patrimoine net et sa trajectoire en un coup d'œil.</w:t>
      </w:r>
    </w:p>
    <w:p>
      <w:pPr>
        <w:pStyle w:val="ListBullet"/>
        <w:spacing w:after="40"/>
      </w:pPr>
      <w:r>
        <w:t>Projeter sa date d'indépendance financière et tester des scénarios.</w:t>
      </w:r>
    </w:p>
    <w:p>
      <w:pPr>
        <w:pStyle w:val="ListBullet"/>
        <w:spacing w:after="40"/>
      </w:pPr>
      <w:r>
        <w:t>Garder un contrôle total et privé de ses données.</w:t>
      </w:r>
    </w:p>
    <w:p>
      <w:pPr>
        <w:pStyle w:val="ListBullet"/>
        <w:spacing w:after="40"/>
      </w:pPr>
      <w:r>
        <w:t>Décider (acheter/louer, rembourser/investir) avec des impacts chiffrés.</w:t>
      </w:r>
    </w:p>
    <w:p>
      <w:pPr>
        <w:pStyle w:val="Heading3"/>
      </w:pPr>
      <w:r>
        <w:t>Les parents — utilisateurs secondaires</w:t>
      </w:r>
    </w:p>
    <w:p>
      <w:pPr>
        <w:spacing w:after="120"/>
      </w:pPr>
      <w:r>
        <w:rPr>
          <w:i w:val="0"/>
        </w:rPr>
        <w:t>Usage familial, moins technophiles. Recherchent la simplicité et la lisibilité, avec un profil strictement séparé et privé du profil principal.</w:t>
      </w:r>
    </w:p>
    <w:p>
      <w:pPr>
        <w:spacing w:before="80" w:after="20"/>
      </w:pPr>
      <w:r>
        <w:rPr>
          <w:b/>
          <w:color w:val="1F6F78"/>
          <w:sz w:val="21"/>
        </w:rPr>
        <w:t>Besoins clés</w:t>
      </w:r>
    </w:p>
    <w:p>
      <w:pPr>
        <w:pStyle w:val="ListBullet"/>
        <w:spacing w:after="40"/>
      </w:pPr>
      <w:r>
        <w:t>Consulter un patrimoine clair sans jargon.</w:t>
      </w:r>
    </w:p>
    <w:p>
      <w:pPr>
        <w:pStyle w:val="ListBullet"/>
        <w:spacing w:after="40"/>
      </w:pPr>
      <w:r>
        <w:t>Saisir facilement quelques actifs et dettes.</w:t>
      </w:r>
    </w:p>
    <w:p>
      <w:pPr>
        <w:pStyle w:val="ListBullet"/>
        <w:spacing w:after="40"/>
      </w:pPr>
      <w:r>
        <w:t>Être certain que leurs données ne sont pas mélangées à celles des autres profils.</w:t>
      </w:r>
    </w:p>
    <w:p>
      <w:pPr>
        <w:pStyle w:val="Heading3"/>
      </w:pPr>
      <w:r>
        <w:t>Le proche de confiance — accès d'urgence</w:t>
      </w:r>
    </w:p>
    <w:p>
      <w:pPr>
        <w:spacing w:after="120"/>
      </w:pPr>
      <w:r>
        <w:rPr>
          <w:i w:val="0"/>
        </w:rPr>
        <w:t>Personne désignée pour un accès restreint en cas de besoin (transmission, incapacité). N'utilise pas l'app au quotidien.</w:t>
      </w:r>
    </w:p>
    <w:p>
      <w:pPr>
        <w:spacing w:before="80" w:after="20"/>
      </w:pPr>
      <w:r>
        <w:rPr>
          <w:b/>
          <w:color w:val="1F6F78"/>
          <w:sz w:val="21"/>
        </w:rPr>
        <w:t>Besoins clés</w:t>
      </w:r>
    </w:p>
    <w:p>
      <w:pPr>
        <w:pStyle w:val="ListBullet"/>
        <w:spacing w:after="40"/>
      </w:pPr>
      <w:r>
        <w:t>Accéder, en cas d'urgence et de façon encadrée, aux informations essentielles de transmission (contacts, contrats, bénéficiaires).</w:t>
      </w:r>
    </w:p>
    <w:p>
      <w:pPr>
        <w:pStyle w:val="Heading1"/>
      </w:pPr>
      <w:r>
        <w:t>5. Périmètre du projet</w:t>
      </w:r>
    </w:p>
    <w:p>
      <w:pPr>
        <w:pStyle w:val="Heading2"/>
      </w:pPr>
      <w:r>
        <w:t>5.1 Inclus</w:t>
      </w:r>
    </w:p>
    <w:p>
      <w:pPr>
        <w:pStyle w:val="ListBullet"/>
        <w:spacing w:after="40"/>
      </w:pPr>
      <w:r>
        <w:t>Gestion du patrimoine net : actifs, passifs, valorisations datées, courbe d'évolution.</w:t>
      </w:r>
    </w:p>
    <w:p>
      <w:pPr>
        <w:pStyle w:val="ListBullet"/>
        <w:spacing w:after="40"/>
      </w:pPr>
      <w:r>
        <w:t>Flux financiers : transactions, import CSV/OFX, catégorisation IA, calendrier, abonnements, cashflow futur, enveloppes budgétaires.</w:t>
      </w:r>
    </w:p>
    <w:p>
      <w:pPr>
        <w:pStyle w:val="ListBullet"/>
        <w:spacing w:after="40"/>
      </w:pPr>
      <w:r>
        <w:t>Projections : date d'indépendance financière, simulateur d'épargne, objectifs, comparateur de scénarios, timeline patrimoniale.</w:t>
      </w:r>
    </w:p>
    <w:p>
      <w:pPr>
        <w:pStyle w:val="ListBullet"/>
        <w:spacing w:after="40"/>
      </w:pPr>
      <w:r>
        <w:t>Intelligence : assistant en langage naturel, IA patrimoniale contextuelle, Mode Décision, Financial Twin, radar de risques, bilan mensuel, alertes.</w:t>
      </w:r>
    </w:p>
    <w:p>
      <w:pPr>
        <w:pStyle w:val="ListBullet"/>
        <w:spacing w:after="40"/>
      </w:pPr>
      <w:r>
        <w:t>Multi-profil léger (utilisateur, parents, proche de confiance) avec données privées par profil.</w:t>
      </w:r>
    </w:p>
    <w:p>
      <w:pPr>
        <w:pStyle w:val="ListBullet"/>
        <w:spacing w:after="40"/>
      </w:pPr>
      <w:r>
        <w:t>Applications iOS native et Web, backend et base de données auto-hébergés.</w:t>
      </w:r>
    </w:p>
    <w:p>
      <w:pPr>
        <w:pStyle w:val="ListBullet"/>
        <w:spacing w:after="40"/>
      </w:pPr>
      <w:r>
        <w:t>Stratégie d'IA hybride en cascade (local iPhone, homelab GPU, cloud premium) et moteur financier déterministe.</w:t>
      </w:r>
    </w:p>
    <w:p>
      <w:pPr>
        <w:pStyle w:val="ListBullet"/>
        <w:spacing w:after="40"/>
      </w:pPr>
      <w:r>
        <w:t>Modules de profondeur : centre immobilier, centre investissement, valeur des objets, coffre-fort documentaire, plan de transmission, module entrepreneur.</w:t>
      </w:r>
    </w:p>
    <w:p>
      <w:pPr>
        <w:pStyle w:val="Heading2"/>
      </w:pPr>
      <w:r>
        <w:t>5.2 Exclu (au démarrage)</w:t>
      </w:r>
    </w:p>
    <w:p>
      <w:pPr>
        <w:pStyle w:val="ListBullet"/>
        <w:spacing w:after="40"/>
      </w:pPr>
      <w:r>
        <w:t>Application publique, inscription ouverte, scaling multi-tenant ou commercialisation.</w:t>
      </w:r>
    </w:p>
    <w:p>
      <w:pPr>
        <w:pStyle w:val="ListBullet"/>
        <w:spacing w:after="40"/>
      </w:pPr>
      <w:r>
        <w:t>Trading et passage d'ordres : Opale suit et analyse, mais n'exécute aucune opération de marché.</w:t>
      </w:r>
    </w:p>
    <w:p>
      <w:pPr>
        <w:pStyle w:val="ListBullet"/>
        <w:spacing w:after="40"/>
      </w:pPr>
      <w:r>
        <w:t>Conseil financier réglementé : l'application informe et éclaire la décision mais ne se substitue pas à un conseiller en gestion de patrimoine agréé.</w:t>
      </w:r>
    </w:p>
    <w:p>
      <w:pPr>
        <w:pStyle w:val="ListBullet"/>
        <w:spacing w:after="40"/>
      </w:pPr>
      <w:r>
        <w:t>Tenue de comptabilité d'entreprise au sens légal (le module entrepreneur reste un outil de pilotage personnel).</w:t>
      </w:r>
    </w:p>
    <w:p>
      <w:pPr>
        <w:pStyle w:val="Heading1"/>
      </w:pPr>
      <w:r>
        <w:t>6. Vue d'ensemble : l'architecture en cinq onglets</w:t>
      </w:r>
    </w:p>
    <w:p>
      <w:pPr>
        <w:spacing w:after="120"/>
      </w:pPr>
      <w:r>
        <w:rPr>
          <w:i w:val="0"/>
        </w:rPr>
        <w:t>L'expérience se structure en cinq onglets, du présent au futur, complétés par des briques transverses. Le tableau ci-dessous en donne la carte ; les chapitres suivants détaillent chaque fonctionnalité.</w:t>
      </w:r>
    </w:p>
    <w:tbl>
      <w:tblPr>
        <w:tblStyle w:val="TableGrid"/>
        <w:tblW w:type="auto" w:w="0"/>
        <w:jc w:val="center"/>
        <w:tblLook w:firstColumn="1" w:firstRow="1" w:lastColumn="0" w:lastRow="0" w:noHBand="0" w:noVBand="1" w:val="04A0"/>
      </w:tblPr>
      <w:tblGrid>
        <w:gridCol w:w="3249"/>
        <w:gridCol w:w="3249"/>
        <w:gridCol w:w="3249"/>
      </w:tblGrid>
      <w:tr>
        <w:tc>
          <w:tcPr>
            <w:tcW w:type="dxa" w:w="1474"/>
            <w:shd w:val="clear" w:fill="1F6F78"/>
            <w:tcMar>
              <w:top w:w="60" w:type="dxa"/>
              <w:bottom w:w="60" w:type="dxa"/>
              <w:start w:w="100" w:type="dxa"/>
              <w:end w:w="100" w:type="dxa"/>
            </w:tcMar>
          </w:tcPr>
          <w:p>
            <w:r/>
            <w:r>
              <w:rPr>
                <w:rFonts w:ascii="Calibri" w:hAnsi="Calibri"/>
                <w:b/>
                <w:color w:val="FFFFFF"/>
                <w:sz w:val="19"/>
              </w:rPr>
              <w:t>Onglet</w:t>
            </w:r>
          </w:p>
        </w:tc>
        <w:tc>
          <w:tcPr>
            <w:tcW w:type="dxa" w:w="1928"/>
            <w:shd w:val="clear" w:fill="1F6F78"/>
            <w:tcMar>
              <w:top w:w="60" w:type="dxa"/>
              <w:bottom w:w="60" w:type="dxa"/>
              <w:start w:w="100" w:type="dxa"/>
              <w:end w:w="100" w:type="dxa"/>
            </w:tcMar>
          </w:tcPr>
          <w:p>
            <w:r/>
            <w:r>
              <w:rPr>
                <w:rFonts w:ascii="Calibri" w:hAnsi="Calibri"/>
                <w:b/>
                <w:color w:val="FFFFFF"/>
                <w:sz w:val="19"/>
              </w:rPr>
              <w:t>Rôle</w:t>
            </w:r>
          </w:p>
        </w:tc>
        <w:tc>
          <w:tcPr>
            <w:tcW w:type="dxa" w:w="5102"/>
            <w:shd w:val="clear" w:fill="1F6F78"/>
            <w:tcMar>
              <w:top w:w="60" w:type="dxa"/>
              <w:bottom w:w="60" w:type="dxa"/>
              <w:start w:w="100" w:type="dxa"/>
              <w:end w:w="100" w:type="dxa"/>
            </w:tcMar>
          </w:tcPr>
          <w:p>
            <w:r/>
            <w:r>
              <w:rPr>
                <w:rFonts w:ascii="Calibri" w:hAnsi="Calibri"/>
                <w:b/>
                <w:color w:val="FFFFFF"/>
                <w:sz w:val="19"/>
              </w:rPr>
              <w:t>Fonctions principales</w:t>
            </w:r>
          </w:p>
        </w:tc>
      </w:tr>
      <w:tr>
        <w:tc>
          <w:tcPr>
            <w:tcW w:type="dxa" w:w="1474"/>
            <w:tcMar>
              <w:top w:w="60" w:type="dxa"/>
              <w:bottom w:w="60" w:type="dxa"/>
              <w:start w:w="100" w:type="dxa"/>
              <w:end w:w="100" w:type="dxa"/>
            </w:tcMar>
          </w:tcPr>
          <w:p>
            <w:r/>
            <w:r>
              <w:rPr>
                <w:rFonts w:ascii="Calibri" w:hAnsi="Calibri"/>
                <w:b w:val="0"/>
                <w:sz w:val="19"/>
              </w:rPr>
              <w:t>Accueil</w:t>
            </w:r>
          </w:p>
        </w:tc>
        <w:tc>
          <w:tcPr>
            <w:tcW w:type="dxa" w:w="1928"/>
            <w:tcMar>
              <w:top w:w="60" w:type="dxa"/>
              <w:bottom w:w="60" w:type="dxa"/>
              <w:start w:w="100" w:type="dxa"/>
              <w:end w:w="100" w:type="dxa"/>
            </w:tcMar>
          </w:tcPr>
          <w:p>
            <w:r/>
            <w:r>
              <w:rPr>
                <w:rFonts w:ascii="Calibri" w:hAnsi="Calibri"/>
                <w:b w:val="0"/>
                <w:sz w:val="19"/>
              </w:rPr>
              <w:t>État et trajectoire</w:t>
            </w:r>
          </w:p>
        </w:tc>
        <w:tc>
          <w:tcPr>
            <w:tcW w:type="dxa" w:w="5102"/>
            <w:tcMar>
              <w:top w:w="60" w:type="dxa"/>
              <w:bottom w:w="60" w:type="dxa"/>
              <w:start w:w="100" w:type="dxa"/>
              <w:end w:w="100" w:type="dxa"/>
            </w:tcMar>
          </w:tcPr>
          <w:p>
            <w:r/>
            <w:r>
              <w:rPr>
                <w:rFonts w:ascii="Calibri" w:hAnsi="Calibri"/>
                <w:b w:val="0"/>
                <w:sz w:val="19"/>
              </w:rPr>
              <w:t>Patrimoine net, cash, score, jalons</w:t>
            </w:r>
          </w:p>
        </w:tc>
      </w:tr>
      <w:tr>
        <w:tc>
          <w:tcPr>
            <w:tcW w:type="dxa" w:w="1474"/>
            <w:tcMar>
              <w:top w:w="60" w:type="dxa"/>
              <w:bottom w:w="60" w:type="dxa"/>
              <w:start w:w="100" w:type="dxa"/>
              <w:end w:w="100" w:type="dxa"/>
            </w:tcMar>
            <w:shd w:val="clear" w:fill="F6F8F9"/>
          </w:tcPr>
          <w:p>
            <w:r/>
            <w:r>
              <w:rPr>
                <w:rFonts w:ascii="Calibri" w:hAnsi="Calibri"/>
                <w:b w:val="0"/>
                <w:sz w:val="19"/>
              </w:rPr>
              <w:t>Flux</w:t>
            </w:r>
          </w:p>
        </w:tc>
        <w:tc>
          <w:tcPr>
            <w:tcW w:type="dxa" w:w="1928"/>
            <w:tcMar>
              <w:top w:w="60" w:type="dxa"/>
              <w:bottom w:w="60" w:type="dxa"/>
              <w:start w:w="100" w:type="dxa"/>
              <w:end w:w="100" w:type="dxa"/>
            </w:tcMar>
            <w:shd w:val="clear" w:fill="F6F8F9"/>
          </w:tcPr>
          <w:p>
            <w:r/>
            <w:r>
              <w:rPr>
                <w:rFonts w:ascii="Calibri" w:hAnsi="Calibri"/>
                <w:b w:val="0"/>
                <w:sz w:val="19"/>
              </w:rPr>
              <w:t>Le quotidien</w:t>
            </w:r>
          </w:p>
        </w:tc>
        <w:tc>
          <w:tcPr>
            <w:tcW w:type="dxa" w:w="5102"/>
            <w:tcMar>
              <w:top w:w="60" w:type="dxa"/>
              <w:bottom w:w="60" w:type="dxa"/>
              <w:start w:w="100" w:type="dxa"/>
              <w:end w:w="100" w:type="dxa"/>
            </w:tcMar>
            <w:shd w:val="clear" w:fill="F6F8F9"/>
          </w:tcPr>
          <w:p>
            <w:r/>
            <w:r>
              <w:rPr>
                <w:rFonts w:ascii="Calibri" w:hAnsi="Calibri"/>
                <w:b w:val="0"/>
                <w:sz w:val="19"/>
              </w:rPr>
              <w:t>Transactions, import, catégorisation, calendrier, enveloppes</w:t>
            </w:r>
          </w:p>
        </w:tc>
      </w:tr>
      <w:tr>
        <w:tc>
          <w:tcPr>
            <w:tcW w:type="dxa" w:w="1474"/>
            <w:tcMar>
              <w:top w:w="60" w:type="dxa"/>
              <w:bottom w:w="60" w:type="dxa"/>
              <w:start w:w="100" w:type="dxa"/>
              <w:end w:w="100" w:type="dxa"/>
            </w:tcMar>
          </w:tcPr>
          <w:p>
            <w:r/>
            <w:r>
              <w:rPr>
                <w:rFonts w:ascii="Calibri" w:hAnsi="Calibri"/>
                <w:b w:val="0"/>
                <w:sz w:val="19"/>
              </w:rPr>
              <w:t>Patrimoine</w:t>
            </w:r>
          </w:p>
        </w:tc>
        <w:tc>
          <w:tcPr>
            <w:tcW w:type="dxa" w:w="1928"/>
            <w:tcMar>
              <w:top w:w="60" w:type="dxa"/>
              <w:bottom w:w="60" w:type="dxa"/>
              <w:start w:w="100" w:type="dxa"/>
              <w:end w:w="100" w:type="dxa"/>
            </w:tcMar>
          </w:tcPr>
          <w:p>
            <w:r/>
            <w:r>
              <w:rPr>
                <w:rFonts w:ascii="Calibri" w:hAnsi="Calibri"/>
                <w:b w:val="0"/>
                <w:sz w:val="19"/>
              </w:rPr>
              <w:t>Actifs et passifs</w:t>
            </w:r>
          </w:p>
        </w:tc>
        <w:tc>
          <w:tcPr>
            <w:tcW w:type="dxa" w:w="5102"/>
            <w:tcMar>
              <w:top w:w="60" w:type="dxa"/>
              <w:bottom w:w="60" w:type="dxa"/>
              <w:start w:w="100" w:type="dxa"/>
              <w:end w:w="100" w:type="dxa"/>
            </w:tcMar>
          </w:tcPr>
          <w:p>
            <w:r/>
            <w:r>
              <w:rPr>
                <w:rFonts w:ascii="Calibri" w:hAnsi="Calibri"/>
                <w:b w:val="0"/>
                <w:sz w:val="19"/>
              </w:rPr>
              <w:t>Comptes, placements, immobilier, objets, entreprise</w:t>
            </w:r>
          </w:p>
        </w:tc>
      </w:tr>
      <w:tr>
        <w:tc>
          <w:tcPr>
            <w:tcW w:type="dxa" w:w="1474"/>
            <w:tcMar>
              <w:top w:w="60" w:type="dxa"/>
              <w:bottom w:w="60" w:type="dxa"/>
              <w:start w:w="100" w:type="dxa"/>
              <w:end w:w="100" w:type="dxa"/>
            </w:tcMar>
            <w:shd w:val="clear" w:fill="F6F8F9"/>
          </w:tcPr>
          <w:p>
            <w:r/>
            <w:r>
              <w:rPr>
                <w:rFonts w:ascii="Calibri" w:hAnsi="Calibri"/>
                <w:b w:val="0"/>
                <w:sz w:val="19"/>
              </w:rPr>
              <w:t>Projection</w:t>
            </w:r>
          </w:p>
        </w:tc>
        <w:tc>
          <w:tcPr>
            <w:tcW w:type="dxa" w:w="1928"/>
            <w:tcMar>
              <w:top w:w="60" w:type="dxa"/>
              <w:bottom w:w="60" w:type="dxa"/>
              <w:start w:w="100" w:type="dxa"/>
              <w:end w:w="100" w:type="dxa"/>
            </w:tcMar>
            <w:shd w:val="clear" w:fill="F6F8F9"/>
          </w:tcPr>
          <w:p>
            <w:r/>
            <w:r>
              <w:rPr>
                <w:rFonts w:ascii="Calibri" w:hAnsi="Calibri"/>
                <w:b w:val="0"/>
                <w:sz w:val="19"/>
              </w:rPr>
              <w:t>Le futur</w:t>
            </w:r>
          </w:p>
        </w:tc>
        <w:tc>
          <w:tcPr>
            <w:tcW w:type="dxa" w:w="5102"/>
            <w:tcMar>
              <w:top w:w="60" w:type="dxa"/>
              <w:bottom w:w="60" w:type="dxa"/>
              <w:start w:w="100" w:type="dxa"/>
              <w:end w:w="100" w:type="dxa"/>
            </w:tcMar>
            <w:shd w:val="clear" w:fill="F6F8F9"/>
          </w:tcPr>
          <w:p>
            <w:r/>
            <w:r>
              <w:rPr>
                <w:rFonts w:ascii="Calibri" w:hAnsi="Calibri"/>
                <w:b w:val="0"/>
                <w:sz w:val="19"/>
              </w:rPr>
              <w:t>Indépendance financière, simulateur, objectifs, scénarios</w:t>
            </w:r>
          </w:p>
        </w:tc>
      </w:tr>
      <w:tr>
        <w:tc>
          <w:tcPr>
            <w:tcW w:type="dxa" w:w="1474"/>
            <w:tcMar>
              <w:top w:w="60" w:type="dxa"/>
              <w:bottom w:w="60" w:type="dxa"/>
              <w:start w:w="100" w:type="dxa"/>
              <w:end w:w="100" w:type="dxa"/>
            </w:tcMar>
          </w:tcPr>
          <w:p>
            <w:r/>
            <w:r>
              <w:rPr>
                <w:rFonts w:ascii="Calibri" w:hAnsi="Calibri"/>
                <w:b w:val="0"/>
                <w:sz w:val="19"/>
              </w:rPr>
              <w:t>Assistant</w:t>
            </w:r>
          </w:p>
        </w:tc>
        <w:tc>
          <w:tcPr>
            <w:tcW w:type="dxa" w:w="1928"/>
            <w:tcMar>
              <w:top w:w="60" w:type="dxa"/>
              <w:bottom w:w="60" w:type="dxa"/>
              <w:start w:w="100" w:type="dxa"/>
              <w:end w:w="100" w:type="dxa"/>
            </w:tcMar>
          </w:tcPr>
          <w:p>
            <w:r/>
            <w:r>
              <w:rPr>
                <w:rFonts w:ascii="Calibri" w:hAnsi="Calibri"/>
                <w:b w:val="0"/>
                <w:sz w:val="19"/>
              </w:rPr>
              <w:t>L'intelligence</w:t>
            </w:r>
          </w:p>
        </w:tc>
        <w:tc>
          <w:tcPr>
            <w:tcW w:type="dxa" w:w="5102"/>
            <w:tcMar>
              <w:top w:w="60" w:type="dxa"/>
              <w:bottom w:w="60" w:type="dxa"/>
              <w:start w:w="100" w:type="dxa"/>
              <w:end w:w="100" w:type="dxa"/>
            </w:tcMar>
          </w:tcPr>
          <w:p>
            <w:r/>
            <w:r>
              <w:rPr>
                <w:rFonts w:ascii="Calibri" w:hAnsi="Calibri"/>
                <w:b w:val="0"/>
                <w:sz w:val="19"/>
              </w:rPr>
              <w:t>Recherche naturelle, IA contextuelle, Mode Décision, alertes</w:t>
            </w:r>
          </w:p>
        </w:tc>
      </w:tr>
    </w:tbl>
    <w:p>
      <w:pPr>
        <w:spacing w:after="120"/>
      </w:pPr>
    </w:p>
    <w:p>
      <w:r>
        <w:br w:type="page"/>
      </w:r>
    </w:p>
    <w:p>
      <w:pPr>
        <w:pStyle w:val="Heading1"/>
      </w:pPr>
      <w:r>
        <w:t>7. Spécifications fonctionnelles détaillées</w:t>
      </w:r>
    </w:p>
    <w:p>
      <w:pPr>
        <w:spacing w:after="120"/>
      </w:pPr>
      <w:r>
        <w:rPr>
          <w:i w:val="0"/>
        </w:rPr>
        <w:t>Chaque fonctionnalité est spécifiée selon un gabarit homogène : description, valeur métier, histoires utilisateur, règles de gestion, données et calculs, et critères d'acceptation. Les identifiants (EF-xxx) sont stables et référençables.</w:t>
      </w:r>
    </w:p>
    <w:p>
      <w:pPr>
        <w:pStyle w:val="Heading2"/>
      </w:pPr>
      <w:r>
        <w:t>7.1 Socle transverse</w:t>
      </w:r>
    </w:p>
    <w:p>
      <w:pPr>
        <w:spacing w:after="120"/>
      </w:pPr>
      <w:r>
        <w:rPr>
          <w:i/>
          <w:color w:val="5B6670"/>
        </w:rPr>
        <w:t>Fonctions communes à toute l'application : multi-profil, authentification, navigation, confidentialité d'usage, personnalisation et portabilité.</w:t>
      </w:r>
    </w:p>
    <w:p>
      <w:pPr>
        <w:pStyle w:val="Heading3"/>
      </w:pPr>
      <w:r>
        <w:t>EF-001 — Multi-profil avec cloisonnement des données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M — Must (indispensable)</w:t>
            </w:r>
          </w:p>
        </w:tc>
        <w:tc>
          <w:tcPr>
            <w:tcW w:type="dxa" w:w="1361"/>
            <w:tcMar>
              <w:top w:w="60" w:type="dxa"/>
              <w:bottom w:w="60" w:type="dxa"/>
              <w:start w:w="100" w:type="dxa"/>
              <w:end w:w="100" w:type="dxa"/>
            </w:tcMar>
          </w:tcPr>
          <w:p>
            <w:r/>
            <w:r>
              <w:rPr>
                <w:rFonts w:ascii="Calibri" w:hAnsi="Calibri"/>
                <w:b w:val="0"/>
                <w:sz w:val="19"/>
              </w:rPr>
              <w:t>P0</w:t>
            </w:r>
          </w:p>
        </w:tc>
        <w:tc>
          <w:tcPr>
            <w:tcW w:type="dxa" w:w="2608"/>
            <w:tcMar>
              <w:top w:w="60" w:type="dxa"/>
              <w:bottom w:w="60" w:type="dxa"/>
              <w:start w:w="100" w:type="dxa"/>
              <w:end w:w="100" w:type="dxa"/>
            </w:tcMar>
          </w:tcPr>
          <w:p>
            <w:r/>
            <w:r>
              <w:rPr>
                <w:rFonts w:ascii="Calibri" w:hAnsi="Calibri"/>
                <w:b w:val="0"/>
                <w:sz w:val="19"/>
              </w:rPr>
              <w:t>Socle</w:t>
            </w:r>
          </w:p>
        </w:tc>
        <w:tc>
          <w:tcPr>
            <w:tcW w:type="dxa" w:w="2268"/>
            <w:tcMar>
              <w:top w:w="60" w:type="dxa"/>
              <w:bottom w:w="60" w:type="dxa"/>
              <w:start w:w="100" w:type="dxa"/>
              <w:end w:w="100" w:type="dxa"/>
            </w:tcMar>
          </w:tcPr>
          <w:p>
            <w:r/>
            <w:r>
              <w:rPr>
                <w:rFonts w:ascii="Calibri" w:hAnsi="Calibri"/>
                <w:b w:val="0"/>
                <w:sz w:val="19"/>
              </w:rPr>
              <w:t>N1</w:t>
            </w:r>
          </w:p>
        </w:tc>
      </w:tr>
    </w:tbl>
    <w:p>
      <w:pPr>
        <w:spacing w:after="120"/>
      </w:pPr>
    </w:p>
    <w:p>
      <w:pPr>
        <w:spacing w:before="80" w:after="20"/>
      </w:pPr>
      <w:r>
        <w:rPr>
          <w:b/>
          <w:color w:val="1F6F78"/>
          <w:sz w:val="21"/>
        </w:rPr>
        <w:t>Description</w:t>
      </w:r>
    </w:p>
    <w:p>
      <w:pPr>
        <w:spacing w:after="120"/>
      </w:pPr>
      <w:r>
        <w:rPr>
          <w:i w:val="0"/>
        </w:rPr>
        <w:t>L'application gère plusieurs profils indépendants (utilisateur principal, parents, proche de confiance). Chaque profil constitue une cloison de données étanche : un actif, une transaction ou un document appartenant à un profil n'est jamais visible, listable ou modifiable depuis un autre profil. Le cloisonnement est appliqué au niveau de la couche de persistance : chaque entité porte un identifiant de profil et toute requête est filtrée par ce dernier.</w:t>
      </w:r>
    </w:p>
    <w:p>
      <w:pPr>
        <w:spacing w:before="80" w:after="20"/>
      </w:pPr>
      <w:r>
        <w:rPr>
          <w:b/>
          <w:color w:val="1F6F78"/>
          <w:sz w:val="21"/>
        </w:rPr>
        <w:t>Valeur métier</w:t>
      </w:r>
    </w:p>
    <w:p>
      <w:pPr>
        <w:spacing w:after="120"/>
      </w:pPr>
      <w:r>
        <w:rPr>
          <w:i w:val="0"/>
        </w:rPr>
        <w:t>Permet un usage familial sans compromettre la vie privée de chacun, et constitue la première brique de confidentialité du produit.</w:t>
      </w:r>
    </w:p>
    <w:p>
      <w:pPr>
        <w:spacing w:before="80" w:after="20"/>
      </w:pPr>
      <w:r>
        <w:rPr>
          <w:b/>
          <w:color w:val="1F6F78"/>
          <w:sz w:val="21"/>
        </w:rPr>
        <w:t>Histoires utilisateur</w:t>
      </w:r>
    </w:p>
    <w:p>
      <w:pPr>
        <w:pStyle w:val="ListBullet"/>
        <w:spacing w:after="40"/>
      </w:pPr>
      <w:r>
        <w:t>En tant qu'utilisateur, je veux créer un profil distinct pour chaque membre de la famille afin que nos données ne soient jamais mélangées.</w:t>
      </w:r>
    </w:p>
    <w:p>
      <w:pPr>
        <w:pStyle w:val="ListBullet"/>
        <w:spacing w:after="40"/>
      </w:pPr>
      <w:r>
        <w:t>En tant que parent, je veux être certain que mes montants ne sont pas visibles depuis le profil de mon enfant.</w:t>
      </w:r>
    </w:p>
    <w:p>
      <w:pPr>
        <w:pStyle w:val="ListBullet"/>
        <w:spacing w:after="40"/>
      </w:pPr>
      <w:r>
        <w:t>En tant qu'utilisateur, je veux basculer rapidement d'un profil à l'autre depuis l'écran de sélection.</w:t>
      </w:r>
    </w:p>
    <w:p>
      <w:pPr>
        <w:spacing w:before="80" w:after="20"/>
      </w:pPr>
      <w:r>
        <w:rPr>
          <w:b/>
          <w:color w:val="1F6F78"/>
          <w:sz w:val="21"/>
        </w:rPr>
        <w:t>Règles de gestion</w:t>
      </w:r>
    </w:p>
    <w:p>
      <w:pPr>
        <w:pStyle w:val="ListBullet"/>
        <w:spacing w:after="40"/>
      </w:pPr>
      <w:r>
        <w:t>Chaque entité métier (actif, passif, valorisation, transaction, document, objectif…) référence obligatoirement un profil.</w:t>
      </w:r>
    </w:p>
    <w:p>
      <w:pPr>
        <w:pStyle w:val="ListBullet"/>
        <w:spacing w:after="40"/>
      </w:pPr>
      <w:r>
        <w:t>Aucune jointure ni endpoint ne doit exposer des données inter-profils.</w:t>
      </w:r>
    </w:p>
    <w:p>
      <w:pPr>
        <w:pStyle w:val="ListBullet"/>
        <w:spacing w:after="40"/>
      </w:pPr>
      <w:r>
        <w:t>La suppression d'un profil entraîne, par cascade et après confirmation forte, la suppression de toutes ses données.</w:t>
      </w:r>
    </w:p>
    <w:p>
      <w:pPr>
        <w:pStyle w:val="ListBullet"/>
        <w:spacing w:after="40"/>
      </w:pPr>
      <w:r>
        <w:t>Le niveau de confidentialité par défaut est attaché au profil (N1 par défaut).</w:t>
      </w:r>
    </w:p>
    <w:p>
      <w:pPr>
        <w:spacing w:before="80" w:after="20"/>
      </w:pPr>
      <w:r>
        <w:rPr>
          <w:b/>
          <w:color w:val="1F6F78"/>
          <w:sz w:val="21"/>
        </w:rPr>
        <w:t>Données &amp; calculs</w:t>
      </w:r>
    </w:p>
    <w:p>
      <w:pPr>
        <w:spacing w:after="120"/>
      </w:pPr>
      <w:r>
        <w:rPr>
          <w:i w:val="0"/>
        </w:rPr>
        <w:t>Entité Profile (nom, code haché, niveau de confidentialité par défaut, horodatages). Clé étrangère profile_id sur toutes les entités métier.</w:t>
      </w:r>
    </w:p>
    <w:p>
      <w:pPr>
        <w:spacing w:before="80" w:after="20"/>
      </w:pPr>
      <w:r>
        <w:rPr>
          <w:b/>
          <w:color w:val="1F6F78"/>
          <w:sz w:val="21"/>
        </w:rPr>
        <w:t>Critères d'acceptation</w:t>
      </w:r>
    </w:p>
    <w:p>
      <w:pPr>
        <w:pStyle w:val="ListBullet"/>
        <w:spacing w:after="40"/>
      </w:pPr>
      <w:r>
        <w:t>Une donnée d'un profil n'est jamais accessible depuis un autre profil (test de non-régression automatisé).</w:t>
      </w:r>
    </w:p>
    <w:p>
      <w:pPr>
        <w:pStyle w:val="ListBullet"/>
        <w:spacing w:after="40"/>
      </w:pPr>
      <w:r>
        <w:t>La création, le listage et la sélection de profils fonctionnent de bout en bout.</w:t>
      </w:r>
    </w:p>
    <w:p>
      <w:pPr>
        <w:spacing w:after="160"/>
      </w:pPr>
    </w:p>
    <w:p>
      <w:pPr>
        <w:pStyle w:val="Heading3"/>
      </w:pPr>
      <w:r>
        <w:t>EF-002 — Authentification par profil et verrouillage automatique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M — Must (indispensable)</w:t>
            </w:r>
          </w:p>
        </w:tc>
        <w:tc>
          <w:tcPr>
            <w:tcW w:type="dxa" w:w="1361"/>
            <w:tcMar>
              <w:top w:w="60" w:type="dxa"/>
              <w:bottom w:w="60" w:type="dxa"/>
              <w:start w:w="100" w:type="dxa"/>
              <w:end w:w="100" w:type="dxa"/>
            </w:tcMar>
          </w:tcPr>
          <w:p>
            <w:r/>
            <w:r>
              <w:rPr>
                <w:rFonts w:ascii="Calibri" w:hAnsi="Calibri"/>
                <w:b w:val="0"/>
                <w:sz w:val="19"/>
              </w:rPr>
              <w:t>P0</w:t>
            </w:r>
          </w:p>
        </w:tc>
        <w:tc>
          <w:tcPr>
            <w:tcW w:type="dxa" w:w="2608"/>
            <w:tcMar>
              <w:top w:w="60" w:type="dxa"/>
              <w:bottom w:w="60" w:type="dxa"/>
              <w:start w:w="100" w:type="dxa"/>
              <w:end w:w="100" w:type="dxa"/>
            </w:tcMar>
          </w:tcPr>
          <w:p>
            <w:r/>
            <w:r>
              <w:rPr>
                <w:rFonts w:ascii="Calibri" w:hAnsi="Calibri"/>
                <w:b w:val="0"/>
                <w:sz w:val="19"/>
              </w:rPr>
              <w:t>Socle</w:t>
            </w:r>
          </w:p>
        </w:tc>
        <w:tc>
          <w:tcPr>
            <w:tcW w:type="dxa" w:w="2268"/>
            <w:tcMar>
              <w:top w:w="60" w:type="dxa"/>
              <w:bottom w:w="60" w:type="dxa"/>
              <w:start w:w="100" w:type="dxa"/>
              <w:end w:w="100" w:type="dxa"/>
            </w:tcMar>
          </w:tcPr>
          <w:p>
            <w:r/>
            <w:r>
              <w:rPr>
                <w:rFonts w:ascii="Calibri" w:hAnsi="Calibri"/>
                <w:b w:val="0"/>
                <w:sz w:val="19"/>
              </w:rPr>
              <w:t>N1</w:t>
            </w:r>
          </w:p>
        </w:tc>
      </w:tr>
    </w:tbl>
    <w:p>
      <w:pPr>
        <w:spacing w:after="120"/>
      </w:pPr>
    </w:p>
    <w:p>
      <w:pPr>
        <w:spacing w:before="80" w:after="20"/>
      </w:pPr>
      <w:r>
        <w:rPr>
          <w:b/>
          <w:color w:val="1F6F78"/>
          <w:sz w:val="21"/>
        </w:rPr>
        <w:t>Description</w:t>
      </w:r>
    </w:p>
    <w:p>
      <w:pPr>
        <w:spacing w:after="120"/>
      </w:pPr>
      <w:r>
        <w:rPr>
          <w:i w:val="0"/>
        </w:rPr>
        <w:t>Chaque profil est protégé par une authentification : Face ID (ou Touch ID) sur iOS, ou un code (PIN) en repli. Le déverrouillage ouvre une session limitée dans le temps. L'application se verrouille automatiquement après une période d'inactivité paramétrable et lors du passage en arrière-plan. Côté backend, le code est haché (bcrypt) et n'est jamais stocké en clair ; les sessions reposent sur des jetons opaques, révocables, dont seule une empreinte est conservée en base.</w:t>
      </w:r>
    </w:p>
    <w:p>
      <w:pPr>
        <w:spacing w:before="80" w:after="20"/>
      </w:pPr>
      <w:r>
        <w:rPr>
          <w:b/>
          <w:color w:val="1F6F78"/>
          <w:sz w:val="21"/>
        </w:rPr>
        <w:t>Valeur métier</w:t>
      </w:r>
    </w:p>
    <w:p>
      <w:pPr>
        <w:spacing w:after="120"/>
      </w:pPr>
      <w:r>
        <w:rPr>
          <w:i w:val="0"/>
        </w:rPr>
        <w:t>Protège l'accès aux données financières sensibles et matérialise la promesse de confidentialité dès l'ouverture de l'app.</w:t>
      </w:r>
    </w:p>
    <w:p>
      <w:pPr>
        <w:spacing w:before="80" w:after="20"/>
      </w:pPr>
      <w:r>
        <w:rPr>
          <w:b/>
          <w:color w:val="1F6F78"/>
          <w:sz w:val="21"/>
        </w:rPr>
        <w:t>Histoires utilisateur</w:t>
      </w:r>
    </w:p>
    <w:p>
      <w:pPr>
        <w:pStyle w:val="ListBullet"/>
        <w:spacing w:after="40"/>
      </w:pPr>
      <w:r>
        <w:t>En tant qu'utilisateur, je veux déverrouiller mon profil par Face ID pour un accès instantané et sûr.</w:t>
      </w:r>
    </w:p>
    <w:p>
      <w:pPr>
        <w:pStyle w:val="ListBullet"/>
        <w:spacing w:after="40"/>
      </w:pPr>
      <w:r>
        <w:t>En tant qu'utilisateur, je veux que l'app se verrouille seule si je la quitte, pour qu'un tiers ne puisse pas consulter mes montants.</w:t>
      </w:r>
    </w:p>
    <w:p>
      <w:pPr>
        <w:pStyle w:val="ListBullet"/>
        <w:spacing w:after="40"/>
      </w:pPr>
      <w:r>
        <w:t>En tant qu'utilisateur, je veux pouvoir révoquer une session active (déconnexion).</w:t>
      </w:r>
    </w:p>
    <w:p>
      <w:pPr>
        <w:spacing w:before="80" w:after="20"/>
      </w:pPr>
      <w:r>
        <w:rPr>
          <w:b/>
          <w:color w:val="1F6F78"/>
          <w:sz w:val="21"/>
        </w:rPr>
        <w:t>Règles de gestion</w:t>
      </w:r>
    </w:p>
    <w:p>
      <w:pPr>
        <w:pStyle w:val="ListBullet"/>
        <w:spacing w:after="40"/>
      </w:pPr>
      <w:r>
        <w:t>Le code est haché par bcrypt ; jamais de stockage ni de log en clair.</w:t>
      </w:r>
    </w:p>
    <w:p>
      <w:pPr>
        <w:pStyle w:val="ListBullet"/>
        <w:spacing w:after="40"/>
      </w:pPr>
      <w:r>
        <w:t>Le jeton de session est opaque (256 bits), expirant, et seule son empreinte SHA-256 est stockée.</w:t>
      </w:r>
    </w:p>
    <w:p>
      <w:pPr>
        <w:pStyle w:val="ListBullet"/>
        <w:spacing w:after="40"/>
      </w:pPr>
      <w:r>
        <w:t>Le verrouillage automatique se déclenche après inactivité et en arrière-plan.</w:t>
      </w:r>
    </w:p>
    <w:p>
      <w:pPr>
        <w:pStyle w:val="ListBullet"/>
        <w:spacing w:after="40"/>
      </w:pPr>
      <w:r>
        <w:t>Un journal d'accès enregistre les connexions (qui, quand) pour la traçabilité.</w:t>
      </w:r>
    </w:p>
    <w:p>
      <w:pPr>
        <w:spacing w:before="80" w:after="20"/>
      </w:pPr>
      <w:r>
        <w:rPr>
          <w:b/>
          <w:color w:val="1F6F78"/>
          <w:sz w:val="21"/>
        </w:rPr>
        <w:t>Données &amp; calculs</w:t>
      </w:r>
    </w:p>
    <w:p>
      <w:pPr>
        <w:spacing w:after="120"/>
      </w:pPr>
      <w:r>
        <w:rPr>
          <w:i w:val="0"/>
        </w:rPr>
        <w:t>Entités Profile (code haché) et Session (empreinte du jeton, expiration). Paramètre de durée de verrouillage par profil.</w:t>
      </w:r>
    </w:p>
    <w:p>
      <w:pPr>
        <w:spacing w:before="80" w:after="20"/>
      </w:pPr>
      <w:r>
        <w:rPr>
          <w:b/>
          <w:color w:val="1F6F78"/>
          <w:sz w:val="21"/>
        </w:rPr>
        <w:t>Critères d'acceptation</w:t>
      </w:r>
    </w:p>
    <w:p>
      <w:pPr>
        <w:pStyle w:val="ListBullet"/>
        <w:spacing w:after="40"/>
      </w:pPr>
      <w:r>
        <w:t>Un mauvais code ou un jeton invalide/expiré renvoie une erreur d'autorisation et aucun accès aux données.</w:t>
      </w:r>
    </w:p>
    <w:p>
      <w:pPr>
        <w:pStyle w:val="ListBullet"/>
        <w:spacing w:after="40"/>
      </w:pPr>
      <w:r>
        <w:t>Une session expirée impose une réauthentification.</w:t>
      </w:r>
    </w:p>
    <w:p>
      <w:pPr>
        <w:spacing w:after="160"/>
      </w:pPr>
    </w:p>
    <w:p>
      <w:pPr>
        <w:pStyle w:val="Heading3"/>
      </w:pPr>
      <w:r>
        <w:t>EF-003 — Navigation à cinq onglets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M — Must (indispensable)</w:t>
            </w:r>
          </w:p>
        </w:tc>
        <w:tc>
          <w:tcPr>
            <w:tcW w:type="dxa" w:w="1361"/>
            <w:tcMar>
              <w:top w:w="60" w:type="dxa"/>
              <w:bottom w:w="60" w:type="dxa"/>
              <w:start w:w="100" w:type="dxa"/>
              <w:end w:w="100" w:type="dxa"/>
            </w:tcMar>
          </w:tcPr>
          <w:p>
            <w:r/>
            <w:r>
              <w:rPr>
                <w:rFonts w:ascii="Calibri" w:hAnsi="Calibri"/>
                <w:b w:val="0"/>
                <w:sz w:val="19"/>
              </w:rPr>
              <w:t>P1</w:t>
            </w:r>
          </w:p>
        </w:tc>
        <w:tc>
          <w:tcPr>
            <w:tcW w:type="dxa" w:w="2608"/>
            <w:tcMar>
              <w:top w:w="60" w:type="dxa"/>
              <w:bottom w:w="60" w:type="dxa"/>
              <w:start w:w="100" w:type="dxa"/>
              <w:end w:w="100" w:type="dxa"/>
            </w:tcMar>
          </w:tcPr>
          <w:p>
            <w:r/>
            <w:r>
              <w:rPr>
                <w:rFonts w:ascii="Calibri" w:hAnsi="Calibri"/>
                <w:b w:val="0"/>
                <w:sz w:val="19"/>
              </w:rPr>
              <w:t>Socle</w:t>
            </w:r>
          </w:p>
        </w:tc>
        <w:tc>
          <w:tcPr>
            <w:tcW w:type="dxa" w:w="2268"/>
            <w:tcMar>
              <w:top w:w="60" w:type="dxa"/>
              <w:bottom w:w="60" w:type="dxa"/>
              <w:start w:w="100" w:type="dxa"/>
              <w:end w:w="100" w:type="dxa"/>
            </w:tcMar>
          </w:tcPr>
          <w:p>
            <w:r/>
            <w:r>
              <w:rPr>
                <w:rFonts w:ascii="Calibri" w:hAnsi="Calibri"/>
                <w:b w:val="0"/>
                <w:sz w:val="19"/>
              </w:rPr>
              <w:t>N1</w:t>
            </w:r>
          </w:p>
        </w:tc>
      </w:tr>
    </w:tbl>
    <w:p>
      <w:pPr>
        <w:spacing w:after="120"/>
      </w:pPr>
    </w:p>
    <w:p>
      <w:pPr>
        <w:spacing w:before="80" w:after="20"/>
      </w:pPr>
      <w:r>
        <w:rPr>
          <w:b/>
          <w:color w:val="1F6F78"/>
          <w:sz w:val="21"/>
        </w:rPr>
        <w:t>Description</w:t>
      </w:r>
    </w:p>
    <w:p>
      <w:pPr>
        <w:spacing w:after="120"/>
      </w:pPr>
      <w:r>
        <w:rPr>
          <w:i w:val="0"/>
        </w:rPr>
        <w:t>La navigation principale repose sur cinq onglets : Accueil, Flux, Patrimoine, Projection et Assistant. Cette structure est stable et constitue la colonne vertébrale de l'expérience. Chaque onglet est une section autonome avec sa propre pile de navigation, ses transitions et son état conservé lors des bascules.</w:t>
      </w:r>
    </w:p>
    <w:p>
      <w:pPr>
        <w:spacing w:before="80" w:after="20"/>
      </w:pPr>
      <w:r>
        <w:rPr>
          <w:b/>
          <w:color w:val="1F6F78"/>
          <w:sz w:val="21"/>
        </w:rPr>
        <w:t>Valeur métier</w:t>
      </w:r>
    </w:p>
    <w:p>
      <w:pPr>
        <w:spacing w:after="120"/>
      </w:pPr>
      <w:r>
        <w:rPr>
          <w:i w:val="0"/>
        </w:rPr>
        <w:t>Donne une carte mentale claire et constante du produit, du présent (Flux) au futur (Projection) en passant par l'état (Patrimoine) et l'intelligence (Assistant).</w:t>
      </w:r>
    </w:p>
    <w:p>
      <w:pPr>
        <w:spacing w:before="80" w:after="20"/>
      </w:pPr>
      <w:r>
        <w:rPr>
          <w:b/>
          <w:color w:val="1F6F78"/>
          <w:sz w:val="21"/>
        </w:rPr>
        <w:t>Histoires utilisateur</w:t>
      </w:r>
    </w:p>
    <w:p>
      <w:pPr>
        <w:pStyle w:val="ListBullet"/>
        <w:spacing w:after="40"/>
      </w:pPr>
      <w:r>
        <w:t>En tant qu'utilisateur, je veux retrouver toujours les mêmes onglets au même endroit pour naviguer sans réfléchir.</w:t>
      </w:r>
    </w:p>
    <w:p>
      <w:pPr>
        <w:pStyle w:val="ListBullet"/>
        <w:spacing w:after="40"/>
      </w:pPr>
      <w:r>
        <w:t>En tant qu'utilisateur, je veux que l'état d'un onglet soit conservé quand je passe à un autre puis reviens.</w:t>
      </w:r>
    </w:p>
    <w:p>
      <w:pPr>
        <w:spacing w:before="80" w:after="20"/>
      </w:pPr>
      <w:r>
        <w:rPr>
          <w:b/>
          <w:color w:val="1F6F78"/>
          <w:sz w:val="21"/>
        </w:rPr>
        <w:t>Règles de gestion</w:t>
      </w:r>
    </w:p>
    <w:p>
      <w:pPr>
        <w:pStyle w:val="ListBullet"/>
        <w:spacing w:after="40"/>
      </w:pPr>
      <w:r>
        <w:t>Les cinq onglets sont : Accueil, Flux, Patrimoine, Projection, Assistant.</w:t>
      </w:r>
    </w:p>
    <w:p>
      <w:pPr>
        <w:pStyle w:val="ListBullet"/>
        <w:spacing w:after="40"/>
      </w:pPr>
      <w:r>
        <w:t>Chaque onglet conserve son état de défilement et de navigation lors des bascules.</w:t>
      </w:r>
    </w:p>
    <w:p>
      <w:pPr>
        <w:pStyle w:val="ListBullet"/>
        <w:spacing w:after="40"/>
      </w:pPr>
      <w:r>
        <w:t>La barre d'onglets adopte le matériau translucide (Liquid Glass) et l'accent du thème actif.</w:t>
      </w:r>
    </w:p>
    <w:p>
      <w:pPr>
        <w:spacing w:before="80" w:after="20"/>
      </w:pPr>
      <w:r>
        <w:rPr>
          <w:b/>
          <w:color w:val="1F6F78"/>
          <w:sz w:val="21"/>
        </w:rPr>
        <w:t>Données &amp; calculs</w:t>
      </w:r>
    </w:p>
    <w:p>
      <w:pPr>
        <w:spacing w:after="120"/>
      </w:pPr>
      <w:r>
        <w:rPr>
          <w:i w:val="0"/>
        </w:rPr>
        <w:t>État de navigation par onglet (pile, position de défilement). Aucune donnée métier spécifique.</w:t>
      </w:r>
    </w:p>
    <w:p>
      <w:pPr>
        <w:spacing w:before="80" w:after="20"/>
      </w:pPr>
      <w:r>
        <w:rPr>
          <w:b/>
          <w:color w:val="1F6F78"/>
          <w:sz w:val="21"/>
        </w:rPr>
        <w:t>Critères d'acceptation</w:t>
      </w:r>
    </w:p>
    <w:p>
      <w:pPr>
        <w:pStyle w:val="ListBullet"/>
        <w:spacing w:after="40"/>
      </w:pPr>
      <w:r>
        <w:t>Les cinq onglets sont présents, libellés et navigables.</w:t>
      </w:r>
    </w:p>
    <w:p>
      <w:pPr>
        <w:pStyle w:val="ListBullet"/>
        <w:spacing w:after="40"/>
      </w:pPr>
      <w:r>
        <w:t>La bascule entre onglets est fluide (aucun à-coup visible).</w:t>
      </w:r>
    </w:p>
    <w:p>
      <w:pPr>
        <w:spacing w:after="160"/>
      </w:pPr>
    </w:p>
    <w:p>
      <w:pPr>
        <w:pStyle w:val="Heading3"/>
      </w:pPr>
      <w:r>
        <w:t>EF-004 — Mode discret (floutage des montants)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S — Should (important)</w:t>
            </w:r>
          </w:p>
        </w:tc>
        <w:tc>
          <w:tcPr>
            <w:tcW w:type="dxa" w:w="1361"/>
            <w:tcMar>
              <w:top w:w="60" w:type="dxa"/>
              <w:bottom w:w="60" w:type="dxa"/>
              <w:start w:w="100" w:type="dxa"/>
              <w:end w:w="100" w:type="dxa"/>
            </w:tcMar>
          </w:tcPr>
          <w:p>
            <w:r/>
            <w:r>
              <w:rPr>
                <w:rFonts w:ascii="Calibri" w:hAnsi="Calibri"/>
                <w:b w:val="0"/>
                <w:sz w:val="19"/>
              </w:rPr>
              <w:t>P1</w:t>
            </w:r>
          </w:p>
        </w:tc>
        <w:tc>
          <w:tcPr>
            <w:tcW w:type="dxa" w:w="2608"/>
            <w:tcMar>
              <w:top w:w="60" w:type="dxa"/>
              <w:bottom w:w="60" w:type="dxa"/>
              <w:start w:w="100" w:type="dxa"/>
              <w:end w:w="100" w:type="dxa"/>
            </w:tcMar>
          </w:tcPr>
          <w:p>
            <w:r/>
            <w:r>
              <w:rPr>
                <w:rFonts w:ascii="Calibri" w:hAnsi="Calibri"/>
                <w:b w:val="0"/>
                <w:sz w:val="19"/>
              </w:rPr>
              <w:t>Socle</w:t>
            </w:r>
          </w:p>
        </w:tc>
        <w:tc>
          <w:tcPr>
            <w:tcW w:type="dxa" w:w="2268"/>
            <w:tcMar>
              <w:top w:w="60" w:type="dxa"/>
              <w:bottom w:w="60" w:type="dxa"/>
              <w:start w:w="100" w:type="dxa"/>
              <w:end w:w="100" w:type="dxa"/>
            </w:tcMar>
          </w:tcPr>
          <w:p>
            <w:r/>
            <w:r>
              <w:rPr>
                <w:rFonts w:ascii="Calibri" w:hAnsi="Calibri"/>
                <w:b w:val="0"/>
                <w:sz w:val="19"/>
              </w:rPr>
              <w:t>N1</w:t>
            </w:r>
          </w:p>
        </w:tc>
      </w:tr>
    </w:tbl>
    <w:p>
      <w:pPr>
        <w:spacing w:after="120"/>
      </w:pPr>
    </w:p>
    <w:p>
      <w:pPr>
        <w:spacing w:before="80" w:after="20"/>
      </w:pPr>
      <w:r>
        <w:rPr>
          <w:b/>
          <w:color w:val="1F6F78"/>
          <w:sz w:val="21"/>
        </w:rPr>
        <w:t>Description</w:t>
      </w:r>
    </w:p>
    <w:p>
      <w:pPr>
        <w:spacing w:after="120"/>
      </w:pPr>
      <w:r>
        <w:rPr>
          <w:i w:val="0"/>
        </w:rPr>
        <w:t>Un geste (par exemple un appui long ou un balayage défini) floute instantanément tous les montants affichés à l'écran, sans masquer la structure de l'interface. Le mode peut être activé manuellement ou automatiquement (par exemple au passage en arrière-plan). Il permet de consulter l'app dans les transports ou en présence de tiers sans révéler de chiffres.</w:t>
      </w:r>
    </w:p>
    <w:p>
      <w:pPr>
        <w:spacing w:before="80" w:after="20"/>
      </w:pPr>
      <w:r>
        <w:rPr>
          <w:b/>
          <w:color w:val="1F6F78"/>
          <w:sz w:val="21"/>
        </w:rPr>
        <w:t>Valeur métier</w:t>
      </w:r>
    </w:p>
    <w:p>
      <w:pPr>
        <w:spacing w:after="120"/>
      </w:pPr>
      <w:r>
        <w:rPr>
          <w:i w:val="0"/>
        </w:rPr>
        <w:t>Renforce la confidentialité au quotidien et le sentiment de contrôle, dans la lignée de l'axe de marque « privé par conception ».</w:t>
      </w:r>
    </w:p>
    <w:p>
      <w:pPr>
        <w:spacing w:before="80" w:after="20"/>
      </w:pPr>
      <w:r>
        <w:rPr>
          <w:b/>
          <w:color w:val="1F6F78"/>
          <w:sz w:val="21"/>
        </w:rPr>
        <w:t>Histoires utilisateur</w:t>
      </w:r>
    </w:p>
    <w:p>
      <w:pPr>
        <w:pStyle w:val="ListBullet"/>
        <w:spacing w:after="40"/>
      </w:pPr>
      <w:r>
        <w:t>En tant qu'utilisateur dans le métro, je veux flouter mes montants d'un geste pour que mon voisin ne les voie pas.</w:t>
      </w:r>
    </w:p>
    <w:p>
      <w:pPr>
        <w:pStyle w:val="ListBullet"/>
        <w:spacing w:after="40"/>
      </w:pPr>
      <w:r>
        <w:t>En tant qu'utilisateur, je veux que le mode discret se réactive seul à chaque ouverture si je l'ai choisi.</w:t>
      </w:r>
    </w:p>
    <w:p>
      <w:pPr>
        <w:spacing w:before="80" w:after="20"/>
      </w:pPr>
      <w:r>
        <w:rPr>
          <w:b/>
          <w:color w:val="1F6F78"/>
          <w:sz w:val="21"/>
        </w:rPr>
        <w:t>Règles de gestion</w:t>
      </w:r>
    </w:p>
    <w:p>
      <w:pPr>
        <w:pStyle w:val="ListBullet"/>
        <w:spacing w:after="40"/>
      </w:pPr>
      <w:r>
        <w:t>Le floutage s'applique à tous les montants (patrimoine, soldes, transactions, objectifs) sans casser la mise en page.</w:t>
      </w:r>
    </w:p>
    <w:p>
      <w:pPr>
        <w:pStyle w:val="ListBullet"/>
        <w:spacing w:after="40"/>
      </w:pPr>
      <w:r>
        <w:t>Le mode est réversible par le même geste.</w:t>
      </w:r>
    </w:p>
    <w:p>
      <w:pPr>
        <w:pStyle w:val="ListBullet"/>
        <w:spacing w:after="40"/>
      </w:pPr>
      <w:r>
        <w:t>Une préférence permet de l'activer automatiquement au lancement et en arrière-plan.</w:t>
      </w:r>
    </w:p>
    <w:p>
      <w:pPr>
        <w:spacing w:before="80" w:after="20"/>
      </w:pPr>
      <w:r>
        <w:rPr>
          <w:b/>
          <w:color w:val="1F6F78"/>
          <w:sz w:val="21"/>
        </w:rPr>
        <w:t>Données &amp; calculs</w:t>
      </w:r>
    </w:p>
    <w:p>
      <w:pPr>
        <w:spacing w:after="120"/>
      </w:pPr>
      <w:r>
        <w:rPr>
          <w:i w:val="0"/>
        </w:rPr>
        <w:t>Préférence d'affichage par profil. Aucune donnée financière supplémentaire.</w:t>
      </w:r>
    </w:p>
    <w:p>
      <w:pPr>
        <w:spacing w:before="80" w:after="20"/>
      </w:pPr>
      <w:r>
        <w:rPr>
          <w:b/>
          <w:color w:val="1F6F78"/>
          <w:sz w:val="21"/>
        </w:rPr>
        <w:t>Critères d'acceptation</w:t>
      </w:r>
    </w:p>
    <w:p>
      <w:pPr>
        <w:pStyle w:val="ListBullet"/>
        <w:spacing w:after="40"/>
      </w:pPr>
      <w:r>
        <w:t>Le geste floute et défloute l'ensemble des montants de l'écran courant.</w:t>
      </w:r>
    </w:p>
    <w:p>
      <w:pPr>
        <w:pStyle w:val="ListBullet"/>
        <w:spacing w:after="40"/>
      </w:pPr>
      <w:r>
        <w:t>La préférence d'activation automatique est respectée.</w:t>
      </w:r>
    </w:p>
    <w:p>
      <w:pPr>
        <w:spacing w:after="160"/>
      </w:pPr>
    </w:p>
    <w:p>
      <w:pPr>
        <w:pStyle w:val="Heading3"/>
      </w:pPr>
      <w:r>
        <w:t>EF-005 — Système de thèmes (accents et clair/sombre/auto)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S — Should (important)</w:t>
            </w:r>
          </w:p>
        </w:tc>
        <w:tc>
          <w:tcPr>
            <w:tcW w:type="dxa" w:w="1361"/>
            <w:tcMar>
              <w:top w:w="60" w:type="dxa"/>
              <w:bottom w:w="60" w:type="dxa"/>
              <w:start w:w="100" w:type="dxa"/>
              <w:end w:w="100" w:type="dxa"/>
            </w:tcMar>
          </w:tcPr>
          <w:p>
            <w:r/>
            <w:r>
              <w:rPr>
                <w:rFonts w:ascii="Calibri" w:hAnsi="Calibri"/>
                <w:b w:val="0"/>
                <w:sz w:val="19"/>
              </w:rPr>
              <w:t>P1</w:t>
            </w:r>
          </w:p>
        </w:tc>
        <w:tc>
          <w:tcPr>
            <w:tcW w:type="dxa" w:w="2608"/>
            <w:tcMar>
              <w:top w:w="60" w:type="dxa"/>
              <w:bottom w:w="60" w:type="dxa"/>
              <w:start w:w="100" w:type="dxa"/>
              <w:end w:w="100" w:type="dxa"/>
            </w:tcMar>
          </w:tcPr>
          <w:p>
            <w:r/>
            <w:r>
              <w:rPr>
                <w:rFonts w:ascii="Calibri" w:hAnsi="Calibri"/>
                <w:b w:val="0"/>
                <w:sz w:val="19"/>
              </w:rPr>
              <w:t>Socle</w:t>
            </w:r>
          </w:p>
        </w:tc>
        <w:tc>
          <w:tcPr>
            <w:tcW w:type="dxa" w:w="2268"/>
            <w:tcMar>
              <w:top w:w="60" w:type="dxa"/>
              <w:bottom w:w="60" w:type="dxa"/>
              <w:start w:w="100" w:type="dxa"/>
              <w:end w:w="100" w:type="dxa"/>
            </w:tcMar>
          </w:tcPr>
          <w:p>
            <w:r/>
            <w:r>
              <w:rPr>
                <w:rFonts w:ascii="Calibri" w:hAnsi="Calibri"/>
                <w:b w:val="0"/>
                <w:sz w:val="19"/>
              </w:rPr>
              <w:t>N1</w:t>
            </w:r>
          </w:p>
        </w:tc>
      </w:tr>
    </w:tbl>
    <w:p>
      <w:pPr>
        <w:spacing w:after="120"/>
      </w:pPr>
    </w:p>
    <w:p>
      <w:pPr>
        <w:spacing w:before="80" w:after="20"/>
      </w:pPr>
      <w:r>
        <w:rPr>
          <w:b/>
          <w:color w:val="1F6F78"/>
          <w:sz w:val="21"/>
        </w:rPr>
        <w:t>Description</w:t>
      </w:r>
    </w:p>
    <w:p>
      <w:pPr>
        <w:spacing w:after="120"/>
      </w:pPr>
      <w:r>
        <w:rPr>
          <w:i w:val="0"/>
        </w:rPr>
        <w:t>L'utilisateur choisit une couleur d'accent parmi une palette inspirée de l'opale (reflets nacrés, dégradés irisés) et un mode d'apparence : clair, sombre ou automatique (suivant le système). Le thème se propage à l'ensemble de l'interface : accents, dégradés, graphes, barre d'onglets. Le mode sombre est traité comme une ambiance premium, pas comme une simple inversion de couleurs.</w:t>
      </w:r>
    </w:p>
    <w:p>
      <w:pPr>
        <w:spacing w:before="80" w:after="20"/>
      </w:pPr>
      <w:r>
        <w:rPr>
          <w:b/>
          <w:color w:val="1F6F78"/>
          <w:sz w:val="21"/>
        </w:rPr>
        <w:t>Valeur métier</w:t>
      </w:r>
    </w:p>
    <w:p>
      <w:pPr>
        <w:spacing w:after="120"/>
      </w:pPr>
      <w:r>
        <w:rPr>
          <w:i w:val="0"/>
        </w:rPr>
        <w:t>Personnalise l'expérience et renforce l'identité visuelle « opale », tout en respectant l'accessibilité et les préférences système.</w:t>
      </w:r>
    </w:p>
    <w:p>
      <w:pPr>
        <w:spacing w:before="80" w:after="20"/>
      </w:pPr>
      <w:r>
        <w:rPr>
          <w:b/>
          <w:color w:val="1F6F78"/>
          <w:sz w:val="21"/>
        </w:rPr>
        <w:t>Histoires utilisateur</w:t>
      </w:r>
    </w:p>
    <w:p>
      <w:pPr>
        <w:pStyle w:val="ListBullet"/>
        <w:spacing w:after="40"/>
      </w:pPr>
      <w:r>
        <w:t>En tant qu'utilisateur, je veux choisir une couleur d'accent qui me ressemble.</w:t>
      </w:r>
    </w:p>
    <w:p>
      <w:pPr>
        <w:pStyle w:val="ListBullet"/>
        <w:spacing w:after="40"/>
      </w:pPr>
      <w:r>
        <w:t>En tant qu'utilisateur, je veux un mode sombre élégant pour consulter l'app le soir.</w:t>
      </w:r>
    </w:p>
    <w:p>
      <w:pPr>
        <w:pStyle w:val="ListBullet"/>
        <w:spacing w:after="40"/>
      </w:pPr>
      <w:r>
        <w:t>En tant qu'utilisateur, je veux que l'app suive automatiquement le thème de mon téléphone.</w:t>
      </w:r>
    </w:p>
    <w:p>
      <w:pPr>
        <w:spacing w:before="80" w:after="20"/>
      </w:pPr>
      <w:r>
        <w:rPr>
          <w:b/>
          <w:color w:val="1F6F78"/>
          <w:sz w:val="21"/>
        </w:rPr>
        <w:t>Règles de gestion</w:t>
      </w:r>
    </w:p>
    <w:p>
      <w:pPr>
        <w:pStyle w:val="ListBullet"/>
        <w:spacing w:after="40"/>
      </w:pPr>
      <w:r>
        <w:t>Au moins le mode clair, le mode sombre et le mode automatique sont proposés.</w:t>
      </w:r>
    </w:p>
    <w:p>
      <w:pPr>
        <w:pStyle w:val="ListBullet"/>
        <w:spacing w:after="40"/>
      </w:pPr>
      <w:r>
        <w:t>Le changement de thème est appliqué immédiatement, sans redémarrage.</w:t>
      </w:r>
    </w:p>
    <w:p>
      <w:pPr>
        <w:pStyle w:val="ListBullet"/>
        <w:spacing w:after="40"/>
      </w:pPr>
      <w:r>
        <w:t>Les contrastes respectent les seuils d'accessibilité (voir ENF-012).</w:t>
      </w:r>
    </w:p>
    <w:p>
      <w:pPr>
        <w:spacing w:before="80" w:after="20"/>
      </w:pPr>
      <w:r>
        <w:rPr>
          <w:b/>
          <w:color w:val="1F6F78"/>
          <w:sz w:val="21"/>
        </w:rPr>
        <w:t>Données &amp; calculs</w:t>
      </w:r>
    </w:p>
    <w:p>
      <w:pPr>
        <w:spacing w:after="120"/>
      </w:pPr>
      <w:r>
        <w:rPr>
          <w:i w:val="0"/>
        </w:rPr>
        <w:t>Préférences de thème par profil (accent, mode d'apparence).</w:t>
      </w:r>
    </w:p>
    <w:p>
      <w:pPr>
        <w:spacing w:before="80" w:after="20"/>
      </w:pPr>
      <w:r>
        <w:rPr>
          <w:b/>
          <w:color w:val="1F6F78"/>
          <w:sz w:val="21"/>
        </w:rPr>
        <w:t>Critères d'acceptation</w:t>
      </w:r>
    </w:p>
    <w:p>
      <w:pPr>
        <w:pStyle w:val="ListBullet"/>
        <w:spacing w:after="40"/>
      </w:pPr>
      <w:r>
        <w:t>Le changement d'accent et de mode se reflète instantanément sur toute l'interface.</w:t>
      </w:r>
    </w:p>
    <w:p>
      <w:pPr>
        <w:pStyle w:val="ListBullet"/>
        <w:spacing w:after="40"/>
      </w:pPr>
      <w:r>
        <w:t>Le mode automatique suit le réglage système.</w:t>
      </w:r>
    </w:p>
    <w:p>
      <w:pPr>
        <w:spacing w:after="160"/>
      </w:pPr>
    </w:p>
    <w:p>
      <w:pPr>
        <w:pStyle w:val="Heading3"/>
      </w:pPr>
      <w:r>
        <w:t>EF-006 — Export complet des données du profil</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S — Should (important)</w:t>
            </w:r>
          </w:p>
        </w:tc>
        <w:tc>
          <w:tcPr>
            <w:tcW w:type="dxa" w:w="1361"/>
            <w:tcMar>
              <w:top w:w="60" w:type="dxa"/>
              <w:bottom w:w="60" w:type="dxa"/>
              <w:start w:w="100" w:type="dxa"/>
              <w:end w:w="100" w:type="dxa"/>
            </w:tcMar>
          </w:tcPr>
          <w:p>
            <w:r/>
            <w:r>
              <w:rPr>
                <w:rFonts w:ascii="Calibri" w:hAnsi="Calibri"/>
                <w:b w:val="0"/>
                <w:sz w:val="19"/>
              </w:rPr>
              <w:t>P4</w:t>
            </w:r>
          </w:p>
        </w:tc>
        <w:tc>
          <w:tcPr>
            <w:tcW w:type="dxa" w:w="2608"/>
            <w:tcMar>
              <w:top w:w="60" w:type="dxa"/>
              <w:bottom w:w="60" w:type="dxa"/>
              <w:start w:w="100" w:type="dxa"/>
              <w:end w:w="100" w:type="dxa"/>
            </w:tcMar>
          </w:tcPr>
          <w:p>
            <w:r/>
            <w:r>
              <w:rPr>
                <w:rFonts w:ascii="Calibri" w:hAnsi="Calibri"/>
                <w:b w:val="0"/>
                <w:sz w:val="19"/>
              </w:rPr>
              <w:t>Socle</w:t>
            </w:r>
          </w:p>
        </w:tc>
        <w:tc>
          <w:tcPr>
            <w:tcW w:type="dxa" w:w="2268"/>
            <w:tcMar>
              <w:top w:w="60" w:type="dxa"/>
              <w:bottom w:w="60" w:type="dxa"/>
              <w:start w:w="100" w:type="dxa"/>
              <w:end w:w="100" w:type="dxa"/>
            </w:tcMar>
          </w:tcPr>
          <w:p>
            <w:r/>
            <w:r>
              <w:rPr>
                <w:rFonts w:ascii="Calibri" w:hAnsi="Calibri"/>
                <w:b w:val="0"/>
                <w:sz w:val="19"/>
              </w:rPr>
              <w:t>N1</w:t>
            </w:r>
          </w:p>
        </w:tc>
      </w:tr>
    </w:tbl>
    <w:p>
      <w:pPr>
        <w:spacing w:after="120"/>
      </w:pPr>
    </w:p>
    <w:p>
      <w:pPr>
        <w:spacing w:before="80" w:after="20"/>
      </w:pPr>
      <w:r>
        <w:rPr>
          <w:b/>
          <w:color w:val="1F6F78"/>
          <w:sz w:val="21"/>
        </w:rPr>
        <w:t>Description</w:t>
      </w:r>
    </w:p>
    <w:p>
      <w:pPr>
        <w:spacing w:after="120"/>
      </w:pPr>
      <w:r>
        <w:rPr>
          <w:i w:val="0"/>
        </w:rPr>
        <w:t>L'utilisateur peut exporter l'intégralité des données de son profil dans un format ouvert et réutilisable (par exemple une archive contenant des fichiers JSON et CSV, ainsi que les documents du coffre-fort). L'export couvre actifs, passifs, valorisations, transactions, catégories, objectifs, scénarios et documents.</w:t>
      </w:r>
    </w:p>
    <w:p>
      <w:pPr>
        <w:spacing w:before="80" w:after="20"/>
      </w:pPr>
      <w:r>
        <w:rPr>
          <w:b/>
          <w:color w:val="1F6F78"/>
          <w:sz w:val="21"/>
        </w:rPr>
        <w:t>Valeur métier</w:t>
      </w:r>
    </w:p>
    <w:p>
      <w:pPr>
        <w:spacing w:after="120"/>
      </w:pPr>
      <w:r>
        <w:rPr>
          <w:i w:val="0"/>
        </w:rPr>
        <w:t>Garantit la portabilité et la réversibilité des données (principe de souveraineté de l'utilisateur), conformément à l'axe de marque sur la confidentialité.</w:t>
      </w:r>
    </w:p>
    <w:p>
      <w:pPr>
        <w:spacing w:before="80" w:after="20"/>
      </w:pPr>
      <w:r>
        <w:rPr>
          <w:b/>
          <w:color w:val="1F6F78"/>
          <w:sz w:val="21"/>
        </w:rPr>
        <w:t>Histoires utilisateur</w:t>
      </w:r>
    </w:p>
    <w:p>
      <w:pPr>
        <w:pStyle w:val="ListBullet"/>
        <w:spacing w:after="40"/>
      </w:pPr>
      <w:r>
        <w:t>En tant qu'utilisateur, je veux récupérer toutes mes données à tout moment, sans dépendre d'un tiers.</w:t>
      </w:r>
    </w:p>
    <w:p>
      <w:pPr>
        <w:pStyle w:val="ListBullet"/>
        <w:spacing w:after="40"/>
      </w:pPr>
      <w:r>
        <w:t>En tant qu'utilisateur, je veux un format lisible et standard pour réutiliser mes données ailleurs.</w:t>
      </w:r>
    </w:p>
    <w:p>
      <w:pPr>
        <w:spacing w:before="80" w:after="20"/>
      </w:pPr>
      <w:r>
        <w:rPr>
          <w:b/>
          <w:color w:val="1F6F78"/>
          <w:sz w:val="21"/>
        </w:rPr>
        <w:t>Règles de gestion</w:t>
      </w:r>
    </w:p>
    <w:p>
      <w:pPr>
        <w:pStyle w:val="ListBullet"/>
        <w:spacing w:after="40"/>
      </w:pPr>
      <w:r>
        <w:t>L'export contient toutes les entités du profil et les documents associés.</w:t>
      </w:r>
    </w:p>
    <w:p>
      <w:pPr>
        <w:pStyle w:val="ListBullet"/>
        <w:spacing w:after="40"/>
      </w:pPr>
      <w:r>
        <w:t>Les formats sont ouverts (JSON/CSV) et documentés.</w:t>
      </w:r>
    </w:p>
    <w:p>
      <w:pPr>
        <w:pStyle w:val="ListBullet"/>
        <w:spacing w:after="40"/>
      </w:pPr>
      <w:r>
        <w:t>L'opération est tracée dans le journal d'accès.</w:t>
      </w:r>
    </w:p>
    <w:p>
      <w:pPr>
        <w:spacing w:before="80" w:after="20"/>
      </w:pPr>
      <w:r>
        <w:rPr>
          <w:b/>
          <w:color w:val="1F6F78"/>
          <w:sz w:val="21"/>
        </w:rPr>
        <w:t>Données &amp; calculs</w:t>
      </w:r>
    </w:p>
    <w:p>
      <w:pPr>
        <w:spacing w:after="120"/>
      </w:pPr>
      <w:r>
        <w:rPr>
          <w:i w:val="0"/>
        </w:rPr>
        <w:t>Aucune entité nouvelle ; lecture complète des entités du profil.</w:t>
      </w:r>
    </w:p>
    <w:p>
      <w:pPr>
        <w:spacing w:before="80" w:after="20"/>
      </w:pPr>
      <w:r>
        <w:rPr>
          <w:b/>
          <w:color w:val="1F6F78"/>
          <w:sz w:val="21"/>
        </w:rPr>
        <w:t>Critères d'acceptation</w:t>
      </w:r>
    </w:p>
    <w:p>
      <w:pPr>
        <w:pStyle w:val="ListBullet"/>
        <w:spacing w:after="40"/>
      </w:pPr>
      <w:r>
        <w:t>Un export produit une archive complète et cohérente du profil, réimportable en principe.</w:t>
      </w:r>
    </w:p>
    <w:p>
      <w:pPr>
        <w:pStyle w:val="ListBullet"/>
        <w:spacing w:after="40"/>
      </w:pPr>
      <w:r>
        <w:t>Aucune donnée d'un autre profil n'apparaît dans l'export.</w:t>
      </w:r>
    </w:p>
    <w:p>
      <w:pPr>
        <w:spacing w:after="160"/>
      </w:pPr>
    </w:p>
    <w:p>
      <w:pPr>
        <w:pStyle w:val="Heading3"/>
      </w:pPr>
      <w:r>
        <w:t>EF-007 — Espace partagé optionnel (dépenses communes)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C — Could (souhaitable)</w:t>
            </w:r>
          </w:p>
        </w:tc>
        <w:tc>
          <w:tcPr>
            <w:tcW w:type="dxa" w:w="1361"/>
            <w:tcMar>
              <w:top w:w="60" w:type="dxa"/>
              <w:bottom w:w="60" w:type="dxa"/>
              <w:start w:w="100" w:type="dxa"/>
              <w:end w:w="100" w:type="dxa"/>
            </w:tcMar>
          </w:tcPr>
          <w:p>
            <w:r/>
            <w:r>
              <w:rPr>
                <w:rFonts w:ascii="Calibri" w:hAnsi="Calibri"/>
                <w:b w:val="0"/>
                <w:sz w:val="19"/>
              </w:rPr>
              <w:t>P7</w:t>
            </w:r>
          </w:p>
        </w:tc>
        <w:tc>
          <w:tcPr>
            <w:tcW w:type="dxa" w:w="2608"/>
            <w:tcMar>
              <w:top w:w="60" w:type="dxa"/>
              <w:bottom w:w="60" w:type="dxa"/>
              <w:start w:w="100" w:type="dxa"/>
              <w:end w:w="100" w:type="dxa"/>
            </w:tcMar>
          </w:tcPr>
          <w:p>
            <w:r/>
            <w:r>
              <w:rPr>
                <w:rFonts w:ascii="Calibri" w:hAnsi="Calibri"/>
                <w:b w:val="0"/>
                <w:sz w:val="19"/>
              </w:rPr>
              <w:t>Socle</w:t>
            </w:r>
          </w:p>
        </w:tc>
        <w:tc>
          <w:tcPr>
            <w:tcW w:type="dxa" w:w="2268"/>
            <w:tcMar>
              <w:top w:w="60" w:type="dxa"/>
              <w:bottom w:w="60" w:type="dxa"/>
              <w:start w:w="100" w:type="dxa"/>
              <w:end w:w="100" w:type="dxa"/>
            </w:tcMar>
          </w:tcPr>
          <w:p>
            <w:r/>
            <w:r>
              <w:rPr>
                <w:rFonts w:ascii="Calibri" w:hAnsi="Calibri"/>
                <w:b w:val="0"/>
                <w:sz w:val="19"/>
              </w:rPr>
              <w:t>N1</w:t>
            </w:r>
          </w:p>
        </w:tc>
      </w:tr>
    </w:tbl>
    <w:p>
      <w:pPr>
        <w:spacing w:after="120"/>
      </w:pPr>
    </w:p>
    <w:p>
      <w:pPr>
        <w:spacing w:before="80" w:after="20"/>
      </w:pPr>
      <w:r>
        <w:rPr>
          <w:b/>
          <w:color w:val="1F6F78"/>
          <w:sz w:val="21"/>
        </w:rPr>
        <w:t>Description</w:t>
      </w:r>
    </w:p>
    <w:p>
      <w:pPr>
        <w:spacing w:after="120"/>
      </w:pPr>
      <w:r>
        <w:rPr>
          <w:i w:val="0"/>
        </w:rPr>
        <w:t>Un espace partagé facultatif permet à plusieurs profils de suivre ensemble des dépenses ou des objectifs communs (par exemple un foyer), tout en conservant la séparation des données privées. Le partage est explicite, granulaire et révocable : seules les entités explicitement partagées deviennent visibles dans l'espace commun.</w:t>
      </w:r>
    </w:p>
    <w:p>
      <w:pPr>
        <w:spacing w:before="80" w:after="20"/>
      </w:pPr>
      <w:r>
        <w:rPr>
          <w:b/>
          <w:color w:val="1F6F78"/>
          <w:sz w:val="21"/>
        </w:rPr>
        <w:t>Valeur métier</w:t>
      </w:r>
    </w:p>
    <w:p>
      <w:pPr>
        <w:spacing w:after="120"/>
      </w:pPr>
      <w:r>
        <w:rPr>
          <w:i w:val="0"/>
        </w:rPr>
        <w:t>Adresse le besoin familial de dépenses communes sans renoncer à la confidentialité individuelle.</w:t>
      </w:r>
    </w:p>
    <w:p>
      <w:pPr>
        <w:spacing w:before="80" w:after="20"/>
      </w:pPr>
      <w:r>
        <w:rPr>
          <w:b/>
          <w:color w:val="1F6F78"/>
          <w:sz w:val="21"/>
        </w:rPr>
        <w:t>Histoires utilisateur</w:t>
      </w:r>
    </w:p>
    <w:p>
      <w:pPr>
        <w:pStyle w:val="ListBullet"/>
        <w:spacing w:after="40"/>
      </w:pPr>
      <w:r>
        <w:t>En tant que couple, nous voulons suivre nos dépenses communes sans fusionner nos patrimoines privés.</w:t>
      </w:r>
    </w:p>
    <w:p>
      <w:pPr>
        <w:pStyle w:val="ListBullet"/>
        <w:spacing w:after="40"/>
      </w:pPr>
      <w:r>
        <w:t>En tant qu'utilisateur, je veux pouvoir retirer à tout moment un élément du partage.</w:t>
      </w:r>
    </w:p>
    <w:p>
      <w:pPr>
        <w:spacing w:before="80" w:after="20"/>
      </w:pPr>
      <w:r>
        <w:rPr>
          <w:b/>
          <w:color w:val="1F6F78"/>
          <w:sz w:val="21"/>
        </w:rPr>
        <w:t>Règles de gestion</w:t>
      </w:r>
    </w:p>
    <w:p>
      <w:pPr>
        <w:pStyle w:val="ListBullet"/>
        <w:spacing w:after="40"/>
      </w:pPr>
      <w:r>
        <w:t>Le partage est opt-in, par entité ou catégorie, et révocable.</w:t>
      </w:r>
    </w:p>
    <w:p>
      <w:pPr>
        <w:pStyle w:val="ListBullet"/>
        <w:spacing w:after="40"/>
      </w:pPr>
      <w:r>
        <w:t>Les données non partagées restent strictement privées.</w:t>
      </w:r>
    </w:p>
    <w:p>
      <w:pPr>
        <w:pStyle w:val="ListBullet"/>
        <w:spacing w:after="40"/>
      </w:pPr>
      <w:r>
        <w:t>Chaque participant garde la maîtrise de ce qu'il expose.</w:t>
      </w:r>
    </w:p>
    <w:p>
      <w:pPr>
        <w:spacing w:before="80" w:after="20"/>
      </w:pPr>
      <w:r>
        <w:rPr>
          <w:b/>
          <w:color w:val="1F6F78"/>
          <w:sz w:val="21"/>
        </w:rPr>
        <w:t>Données &amp; calculs</w:t>
      </w:r>
    </w:p>
    <w:p>
      <w:pPr>
        <w:spacing w:after="120"/>
      </w:pPr>
      <w:r>
        <w:rPr>
          <w:i w:val="0"/>
        </w:rPr>
        <w:t>Entité d'espace partagé reliant des profils ; liens de partage par entité.</w:t>
      </w:r>
    </w:p>
    <w:p>
      <w:pPr>
        <w:spacing w:before="80" w:after="20"/>
      </w:pPr>
      <w:r>
        <w:rPr>
          <w:b/>
          <w:color w:val="1F6F78"/>
          <w:sz w:val="21"/>
        </w:rPr>
        <w:t>Critères d'acceptation</w:t>
      </w:r>
    </w:p>
    <w:p>
      <w:pPr>
        <w:pStyle w:val="ListBullet"/>
        <w:spacing w:after="40"/>
      </w:pPr>
      <w:r>
        <w:t>Seules les entités explicitement partagées apparaissent dans l'espace commun.</w:t>
      </w:r>
    </w:p>
    <w:p>
      <w:pPr>
        <w:pStyle w:val="ListBullet"/>
        <w:spacing w:after="40"/>
      </w:pPr>
      <w:r>
        <w:t>La révocation retire immédiatement l'accès partagé.</w:t>
      </w:r>
    </w:p>
    <w:p>
      <w:pPr>
        <w:spacing w:after="160"/>
      </w:pPr>
    </w:p>
    <w:p>
      <w:pPr>
        <w:pStyle w:val="Heading3"/>
      </w:pPr>
      <w:r>
        <w:t>EF-008 — Multi-devises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C — Could (souhaitable)</w:t>
            </w:r>
          </w:p>
        </w:tc>
        <w:tc>
          <w:tcPr>
            <w:tcW w:type="dxa" w:w="1361"/>
            <w:tcMar>
              <w:top w:w="60" w:type="dxa"/>
              <w:bottom w:w="60" w:type="dxa"/>
              <w:start w:w="100" w:type="dxa"/>
              <w:end w:w="100" w:type="dxa"/>
            </w:tcMar>
          </w:tcPr>
          <w:p>
            <w:r/>
            <w:r>
              <w:rPr>
                <w:rFonts w:ascii="Calibri" w:hAnsi="Calibri"/>
                <w:b w:val="0"/>
                <w:sz w:val="19"/>
              </w:rPr>
              <w:t>P7</w:t>
            </w:r>
          </w:p>
        </w:tc>
        <w:tc>
          <w:tcPr>
            <w:tcW w:type="dxa" w:w="2608"/>
            <w:tcMar>
              <w:top w:w="60" w:type="dxa"/>
              <w:bottom w:w="60" w:type="dxa"/>
              <w:start w:w="100" w:type="dxa"/>
              <w:end w:w="100" w:type="dxa"/>
            </w:tcMar>
          </w:tcPr>
          <w:p>
            <w:r/>
            <w:r>
              <w:rPr>
                <w:rFonts w:ascii="Calibri" w:hAnsi="Calibri"/>
                <w:b w:val="0"/>
                <w:sz w:val="19"/>
              </w:rPr>
              <w:t>Socle</w:t>
            </w:r>
          </w:p>
        </w:tc>
        <w:tc>
          <w:tcPr>
            <w:tcW w:type="dxa" w:w="2268"/>
            <w:tcMar>
              <w:top w:w="60" w:type="dxa"/>
              <w:bottom w:w="60" w:type="dxa"/>
              <w:start w:w="100" w:type="dxa"/>
              <w:end w:w="100" w:type="dxa"/>
            </w:tcMar>
          </w:tcPr>
          <w:p>
            <w:r/>
            <w:r>
              <w:rPr>
                <w:rFonts w:ascii="Calibri" w:hAnsi="Calibri"/>
                <w:b w:val="0"/>
                <w:sz w:val="19"/>
              </w:rPr>
              <w:t>N1</w:t>
            </w:r>
          </w:p>
        </w:tc>
      </w:tr>
    </w:tbl>
    <w:p>
      <w:pPr>
        <w:spacing w:after="120"/>
      </w:pPr>
    </w:p>
    <w:p>
      <w:pPr>
        <w:spacing w:before="80" w:after="20"/>
      </w:pPr>
      <w:r>
        <w:rPr>
          <w:b/>
          <w:color w:val="1F6F78"/>
          <w:sz w:val="21"/>
        </w:rPr>
        <w:t>Description</w:t>
      </w:r>
    </w:p>
    <w:p>
      <w:pPr>
        <w:spacing w:after="120"/>
      </w:pPr>
      <w:r>
        <w:rPr>
          <w:i w:val="0"/>
        </w:rPr>
        <w:t>Le système gère plusieurs devises pour les actifs, passifs et transactions. Chaque montant conserve sa devise d'origine ; les agrégations (patrimoine net, totaux) sont converties dans une devise de référence choisie par le profil, à l'aide de taux de change historisés. La conversion respecte la règle des montants entiers (jamais de flottant) et conserve la valeur d'origine pour audit.</w:t>
      </w:r>
    </w:p>
    <w:p>
      <w:pPr>
        <w:spacing w:before="80" w:after="20"/>
      </w:pPr>
      <w:r>
        <w:rPr>
          <w:b/>
          <w:color w:val="1F6F78"/>
          <w:sz w:val="21"/>
        </w:rPr>
        <w:t>Valeur métier</w:t>
      </w:r>
    </w:p>
    <w:p>
      <w:pPr>
        <w:spacing w:after="120"/>
      </w:pPr>
      <w:r>
        <w:rPr>
          <w:i w:val="0"/>
        </w:rPr>
        <w:t>Permet de suivre un patrimoine international (comptes, placements, crypto) sans perte de précision ni d'information.</w:t>
      </w:r>
    </w:p>
    <w:p>
      <w:pPr>
        <w:spacing w:before="80" w:after="20"/>
      </w:pPr>
      <w:r>
        <w:rPr>
          <w:b/>
          <w:color w:val="1F6F78"/>
          <w:sz w:val="21"/>
        </w:rPr>
        <w:t>Histoires utilisateur</w:t>
      </w:r>
    </w:p>
    <w:p>
      <w:pPr>
        <w:pStyle w:val="ListBullet"/>
        <w:spacing w:after="40"/>
      </w:pPr>
      <w:r>
        <w:t>En tant qu'utilisateur, je veux saisir un compte en dollars et le voir converti en euros dans mon patrimoine total.</w:t>
      </w:r>
    </w:p>
    <w:p>
      <w:pPr>
        <w:pStyle w:val="ListBullet"/>
        <w:spacing w:after="40"/>
      </w:pPr>
      <w:r>
        <w:t>En tant qu'utilisateur, je veux conserver la valeur d'origine de chaque montant.</w:t>
      </w:r>
    </w:p>
    <w:p>
      <w:pPr>
        <w:spacing w:before="80" w:after="20"/>
      </w:pPr>
      <w:r>
        <w:rPr>
          <w:b/>
          <w:color w:val="1F6F78"/>
          <w:sz w:val="21"/>
        </w:rPr>
        <w:t>Règles de gestion</w:t>
      </w:r>
    </w:p>
    <w:p>
      <w:pPr>
        <w:pStyle w:val="ListBullet"/>
        <w:spacing w:after="40"/>
      </w:pPr>
      <w:r>
        <w:t>Chaque montant porte sa devise ; la valeur d'origine n'est jamais écrasée.</w:t>
      </w:r>
    </w:p>
    <w:p>
      <w:pPr>
        <w:pStyle w:val="ListBullet"/>
        <w:spacing w:after="40"/>
      </w:pPr>
      <w:r>
        <w:t>Les taux de change sont historisés et la devise de référence est paramétrable.</w:t>
      </w:r>
    </w:p>
    <w:p>
      <w:pPr>
        <w:pStyle w:val="ListBullet"/>
        <w:spacing w:after="40"/>
      </w:pPr>
      <w:r>
        <w:t>Les conversions respectent la règle des centimes entiers.</w:t>
      </w:r>
    </w:p>
    <w:p>
      <w:pPr>
        <w:spacing w:before="80" w:after="20"/>
      </w:pPr>
      <w:r>
        <w:rPr>
          <w:b/>
          <w:color w:val="1F6F78"/>
          <w:sz w:val="21"/>
        </w:rPr>
        <w:t>Données &amp; calculs</w:t>
      </w:r>
    </w:p>
    <w:p>
      <w:pPr>
        <w:spacing w:after="120"/>
      </w:pPr>
      <w:r>
        <w:rPr>
          <w:i w:val="0"/>
        </w:rPr>
        <w:t>Devise par montant ; table de taux de change datés ; devise de référence par profil.</w:t>
      </w:r>
    </w:p>
    <w:p>
      <w:pPr>
        <w:spacing w:before="80" w:after="20"/>
      </w:pPr>
      <w:r>
        <w:rPr>
          <w:b/>
          <w:color w:val="1F6F78"/>
          <w:sz w:val="21"/>
        </w:rPr>
        <w:t>Critères d'acceptation</w:t>
      </w:r>
    </w:p>
    <w:p>
      <w:pPr>
        <w:pStyle w:val="ListBullet"/>
        <w:spacing w:after="40"/>
      </w:pPr>
      <w:r>
        <w:t>Un actif en devise étrangère est correctement agrégé dans la devise de référence.</w:t>
      </w:r>
    </w:p>
    <w:p>
      <w:pPr>
        <w:pStyle w:val="ListBullet"/>
        <w:spacing w:after="40"/>
      </w:pPr>
      <w:r>
        <w:t>La valeur d'origine reste consultable.</w:t>
      </w:r>
    </w:p>
    <w:p>
      <w:pPr>
        <w:spacing w:after="160"/>
      </w:pPr>
    </w:p>
    <w:p>
      <w:pPr>
        <w:pStyle w:val="Heading2"/>
      </w:pPr>
      <w:r>
        <w:t>7.2 Onglet Accueil</w:t>
      </w:r>
    </w:p>
    <w:p>
      <w:pPr>
        <w:spacing w:after="120"/>
      </w:pPr>
      <w:r>
        <w:rPr>
          <w:i/>
          <w:color w:val="5B6670"/>
        </w:rPr>
        <w:t>L'écran d'ouverture, centré sur le patrimoine net et sa trajectoire, premier contact quotidien avec le produit.</w:t>
      </w:r>
    </w:p>
    <w:p>
      <w:pPr>
        <w:pStyle w:val="Heading3"/>
      </w:pPr>
      <w:r>
        <w:t>EF-010 — Patrimoine net total</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M — Must (indispensable)</w:t>
            </w:r>
          </w:p>
        </w:tc>
        <w:tc>
          <w:tcPr>
            <w:tcW w:type="dxa" w:w="1361"/>
            <w:tcMar>
              <w:top w:w="60" w:type="dxa"/>
              <w:bottom w:w="60" w:type="dxa"/>
              <w:start w:w="100" w:type="dxa"/>
              <w:end w:w="100" w:type="dxa"/>
            </w:tcMar>
          </w:tcPr>
          <w:p>
            <w:r/>
            <w:r>
              <w:rPr>
                <w:rFonts w:ascii="Calibri" w:hAnsi="Calibri"/>
                <w:b w:val="0"/>
                <w:sz w:val="19"/>
              </w:rPr>
              <w:t>P1</w:t>
            </w:r>
          </w:p>
        </w:tc>
        <w:tc>
          <w:tcPr>
            <w:tcW w:type="dxa" w:w="2608"/>
            <w:tcMar>
              <w:top w:w="60" w:type="dxa"/>
              <w:bottom w:w="60" w:type="dxa"/>
              <w:start w:w="100" w:type="dxa"/>
              <w:end w:w="100" w:type="dxa"/>
            </w:tcMar>
          </w:tcPr>
          <w:p>
            <w:r/>
            <w:r>
              <w:rPr>
                <w:rFonts w:ascii="Calibri" w:hAnsi="Calibri"/>
                <w:b w:val="0"/>
                <w:sz w:val="19"/>
              </w:rPr>
              <w:t>Accueil</w:t>
            </w:r>
          </w:p>
        </w:tc>
        <w:tc>
          <w:tcPr>
            <w:tcW w:type="dxa" w:w="2268"/>
            <w:tcMar>
              <w:top w:w="60" w:type="dxa"/>
              <w:bottom w:w="60" w:type="dxa"/>
              <w:start w:w="100" w:type="dxa"/>
              <w:end w:w="100" w:type="dxa"/>
            </w:tcMar>
          </w:tcPr>
          <w:p>
            <w:r/>
            <w:r>
              <w:rPr>
                <w:rFonts w:ascii="Calibri" w:hAnsi="Calibri"/>
                <w:b w:val="0"/>
                <w:sz w:val="19"/>
              </w:rPr>
              <w:t>N1</w:t>
            </w:r>
          </w:p>
        </w:tc>
      </w:tr>
    </w:tbl>
    <w:p>
      <w:pPr>
        <w:spacing w:after="120"/>
      </w:pPr>
    </w:p>
    <w:p>
      <w:pPr>
        <w:spacing w:before="80" w:after="20"/>
      </w:pPr>
      <w:r>
        <w:rPr>
          <w:b/>
          <w:color w:val="1F6F78"/>
          <w:sz w:val="21"/>
        </w:rPr>
        <w:t>Description</w:t>
      </w:r>
    </w:p>
    <w:p>
      <w:pPr>
        <w:spacing w:after="120"/>
      </w:pPr>
      <w:r>
        <w:rPr>
          <w:i w:val="0"/>
        </w:rPr>
        <w:t>L'écran d'accueil affiche en évidence le patrimoine net total du profil, défini comme la somme des dernières valorisations des actifs moins la somme des dernières valorisations des passifs. Ce chiffre est l'élément central du produit : grand, lisible, toujours exact, et systématiquement issu du moteur financier déterministe.</w:t>
      </w:r>
    </w:p>
    <w:p>
      <w:pPr>
        <w:spacing w:before="80" w:after="20"/>
      </w:pPr>
      <w:r>
        <w:rPr>
          <w:b/>
          <w:color w:val="1F6F78"/>
          <w:sz w:val="21"/>
        </w:rPr>
        <w:t>Valeur métier</w:t>
      </w:r>
    </w:p>
    <w:p>
      <w:pPr>
        <w:spacing w:after="120"/>
      </w:pPr>
      <w:r>
        <w:rPr>
          <w:i w:val="0"/>
        </w:rPr>
        <w:t>Répond à la question fondatrice « combien je vaux ? » et ancre l'identité du produit autour du patrimoine plutôt que du solde courant.</w:t>
      </w:r>
    </w:p>
    <w:p>
      <w:pPr>
        <w:spacing w:before="80" w:after="20"/>
      </w:pPr>
      <w:r>
        <w:rPr>
          <w:b/>
          <w:color w:val="1F6F78"/>
          <w:sz w:val="21"/>
        </w:rPr>
        <w:t>Histoires utilisateur</w:t>
      </w:r>
    </w:p>
    <w:p>
      <w:pPr>
        <w:pStyle w:val="ListBullet"/>
        <w:spacing w:after="40"/>
      </w:pPr>
      <w:r>
        <w:t>En tant qu'utilisateur, je veux voir mon patrimoine net dès l'ouverture, en un coup d'œil.</w:t>
      </w:r>
    </w:p>
    <w:p>
      <w:pPr>
        <w:pStyle w:val="ListBullet"/>
        <w:spacing w:after="40"/>
      </w:pPr>
      <w:r>
        <w:t>En tant qu'utilisateur, je veux que ce chiffre soit toujours fiable et à jour.</w:t>
      </w:r>
    </w:p>
    <w:p>
      <w:pPr>
        <w:spacing w:before="80" w:after="20"/>
      </w:pPr>
      <w:r>
        <w:rPr>
          <w:b/>
          <w:color w:val="1F6F78"/>
          <w:sz w:val="21"/>
        </w:rPr>
        <w:t>Règles de gestion</w:t>
      </w:r>
    </w:p>
    <w:p>
      <w:pPr>
        <w:pStyle w:val="ListBullet"/>
        <w:spacing w:after="40"/>
      </w:pPr>
      <w:r>
        <w:t>Patrimoine net = Σ(dernière valorisation de chaque actif non archivé) − Σ(dernière valorisation de chaque passif non archivé).</w:t>
      </w:r>
    </w:p>
    <w:p>
      <w:pPr>
        <w:pStyle w:val="ListBullet"/>
        <w:spacing w:after="40"/>
      </w:pPr>
      <w:r>
        <w:t>Le calcul est déterministe, en centimes entiers, jamais produit par l'IA.</w:t>
      </w:r>
    </w:p>
    <w:p>
      <w:pPr>
        <w:pStyle w:val="ListBullet"/>
        <w:spacing w:after="40"/>
      </w:pPr>
      <w:r>
        <w:t>Les actifs et passifs archivés sont exclus du total.</w:t>
      </w:r>
    </w:p>
    <w:p>
      <w:pPr>
        <w:spacing w:before="80" w:after="20"/>
      </w:pPr>
      <w:r>
        <w:rPr>
          <w:b/>
          <w:color w:val="1F6F78"/>
          <w:sz w:val="21"/>
        </w:rPr>
        <w:t>Données &amp; calculs</w:t>
      </w:r>
    </w:p>
    <w:p>
      <w:pPr>
        <w:spacing w:after="120"/>
      </w:pPr>
      <w:r>
        <w:rPr>
          <w:i w:val="0"/>
        </w:rPr>
        <w:t>Entités Asset, Liability, Valuation. Calcul par sélection de la valorisation la plus récente par sujet.</w:t>
      </w:r>
    </w:p>
    <w:p>
      <w:pPr>
        <w:spacing w:before="80" w:after="20"/>
      </w:pPr>
      <w:r>
        <w:rPr>
          <w:b/>
          <w:color w:val="1F6F78"/>
          <w:sz w:val="21"/>
        </w:rPr>
        <w:t>Critères d'acceptation</w:t>
      </w:r>
    </w:p>
    <w:p>
      <w:pPr>
        <w:pStyle w:val="ListBullet"/>
        <w:spacing w:after="40"/>
      </w:pPr>
      <w:r>
        <w:t>Le patrimoine net affiché est exactement égal à la somme des actifs moins les passifs (vérifiable manuellement).</w:t>
      </w:r>
    </w:p>
    <w:p>
      <w:pPr>
        <w:pStyle w:val="ListBullet"/>
        <w:spacing w:after="40"/>
      </w:pPr>
      <w:r>
        <w:t>La valeur est cohérente avec les valorisations saisies.</w:t>
      </w:r>
    </w:p>
    <w:p>
      <w:pPr>
        <w:spacing w:after="160"/>
      </w:pPr>
    </w:p>
    <w:p>
      <w:pPr>
        <w:pStyle w:val="Heading3"/>
      </w:pPr>
      <w:r>
        <w:t>EF-011 — Compteur animé du patrimoine net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S — Should (important)</w:t>
            </w:r>
          </w:p>
        </w:tc>
        <w:tc>
          <w:tcPr>
            <w:tcW w:type="dxa" w:w="1361"/>
            <w:tcMar>
              <w:top w:w="60" w:type="dxa"/>
              <w:bottom w:w="60" w:type="dxa"/>
              <w:start w:w="100" w:type="dxa"/>
              <w:end w:w="100" w:type="dxa"/>
            </w:tcMar>
          </w:tcPr>
          <w:p>
            <w:r/>
            <w:r>
              <w:rPr>
                <w:rFonts w:ascii="Calibri" w:hAnsi="Calibri"/>
                <w:b w:val="0"/>
                <w:sz w:val="19"/>
              </w:rPr>
              <w:t>P1</w:t>
            </w:r>
          </w:p>
        </w:tc>
        <w:tc>
          <w:tcPr>
            <w:tcW w:type="dxa" w:w="2608"/>
            <w:tcMar>
              <w:top w:w="60" w:type="dxa"/>
              <w:bottom w:w="60" w:type="dxa"/>
              <w:start w:w="100" w:type="dxa"/>
              <w:end w:w="100" w:type="dxa"/>
            </w:tcMar>
          </w:tcPr>
          <w:p>
            <w:r/>
            <w:r>
              <w:rPr>
                <w:rFonts w:ascii="Calibri" w:hAnsi="Calibri"/>
                <w:b w:val="0"/>
                <w:sz w:val="19"/>
              </w:rPr>
              <w:t>Accueil</w:t>
            </w:r>
          </w:p>
        </w:tc>
        <w:tc>
          <w:tcPr>
            <w:tcW w:type="dxa" w:w="2268"/>
            <w:tcMar>
              <w:top w:w="60" w:type="dxa"/>
              <w:bottom w:w="60" w:type="dxa"/>
              <w:start w:w="100" w:type="dxa"/>
              <w:end w:w="100" w:type="dxa"/>
            </w:tcMar>
          </w:tcPr>
          <w:p>
            <w:r/>
            <w:r>
              <w:rPr>
                <w:rFonts w:ascii="Calibri" w:hAnsi="Calibri"/>
                <w:b w:val="0"/>
                <w:sz w:val="19"/>
              </w:rPr>
              <w:t>N1</w:t>
            </w:r>
          </w:p>
        </w:tc>
      </w:tr>
    </w:tbl>
    <w:p>
      <w:pPr>
        <w:spacing w:after="120"/>
      </w:pPr>
    </w:p>
    <w:p>
      <w:pPr>
        <w:spacing w:before="80" w:after="20"/>
      </w:pPr>
      <w:r>
        <w:rPr>
          <w:b/>
          <w:color w:val="1F6F78"/>
          <w:sz w:val="21"/>
        </w:rPr>
        <w:t>Description</w:t>
      </w:r>
    </w:p>
    <w:p>
      <w:pPr>
        <w:spacing w:after="120"/>
      </w:pPr>
      <w:r>
        <w:rPr>
          <w:i w:val="0"/>
        </w:rPr>
        <w:t>À l'ouverture, le patrimoine net s'anime : le chiffre « défile » depuis une valeur de départ jusqu'à sa valeur réelle, avec une physique de ressort et une légère rétroaction haptique. L'animation est rapide, satisfaisante et n'entrave jamais la lecture du chiffre final.</w:t>
      </w:r>
    </w:p>
    <w:p>
      <w:pPr>
        <w:spacing w:before="80" w:after="20"/>
      </w:pPr>
      <w:r>
        <w:rPr>
          <w:b/>
          <w:color w:val="1F6F78"/>
          <w:sz w:val="21"/>
        </w:rPr>
        <w:t>Valeur métier</w:t>
      </w:r>
    </w:p>
    <w:p>
      <w:pPr>
        <w:spacing w:after="120"/>
      </w:pPr>
      <w:r>
        <w:rPr>
          <w:i w:val="0"/>
        </w:rPr>
        <w:t>Crée la micro-récompense d'ouverture qui transforme la consultation en habitude plaisante.</w:t>
      </w:r>
    </w:p>
    <w:p>
      <w:pPr>
        <w:spacing w:before="80" w:after="20"/>
      </w:pPr>
      <w:r>
        <w:rPr>
          <w:b/>
          <w:color w:val="1F6F78"/>
          <w:sz w:val="21"/>
        </w:rPr>
        <w:t>Histoires utilisateur</w:t>
      </w:r>
    </w:p>
    <w:p>
      <w:pPr>
        <w:pStyle w:val="ListBullet"/>
        <w:spacing w:after="40"/>
      </w:pPr>
      <w:r>
        <w:t>En tant qu'utilisateur, je veux ressentir un petit plaisir à l'ouverture quand mon patrimoine s'affiche en s'animant.</w:t>
      </w:r>
    </w:p>
    <w:p>
      <w:pPr>
        <w:spacing w:before="80" w:after="20"/>
      </w:pPr>
      <w:r>
        <w:rPr>
          <w:b/>
          <w:color w:val="1F6F78"/>
          <w:sz w:val="21"/>
        </w:rPr>
        <w:t>Règles de gestion</w:t>
      </w:r>
    </w:p>
    <w:p>
      <w:pPr>
        <w:pStyle w:val="ListBullet"/>
        <w:spacing w:after="40"/>
      </w:pPr>
      <w:r>
        <w:t>L'animation est brève et n'altère pas la valeur finale exacte.</w:t>
      </w:r>
    </w:p>
    <w:p>
      <w:pPr>
        <w:pStyle w:val="ListBullet"/>
        <w:spacing w:after="40"/>
      </w:pPr>
      <w:r>
        <w:t>Une rétroaction haptique discrète accompagne la fin de l'animation.</w:t>
      </w:r>
    </w:p>
    <w:p>
      <w:pPr>
        <w:pStyle w:val="ListBullet"/>
        <w:spacing w:after="40"/>
      </w:pPr>
      <w:r>
        <w:t>L'animation peut être réduite si l'utilisateur active « réduire les animations ».</w:t>
      </w:r>
    </w:p>
    <w:p>
      <w:pPr>
        <w:spacing w:before="80" w:after="20"/>
      </w:pPr>
      <w:r>
        <w:rPr>
          <w:b/>
          <w:color w:val="1F6F78"/>
          <w:sz w:val="21"/>
        </w:rPr>
        <w:t>Données &amp; calculs</w:t>
      </w:r>
    </w:p>
    <w:p>
      <w:pPr>
        <w:spacing w:after="120"/>
      </w:pPr>
      <w:r>
        <w:rPr>
          <w:i w:val="0"/>
        </w:rPr>
        <w:t>Valeur du patrimoine net (issue d'EF-010). Aucune donnée supplémentaire.</w:t>
      </w:r>
    </w:p>
    <w:p>
      <w:pPr>
        <w:spacing w:before="80" w:after="20"/>
      </w:pPr>
      <w:r>
        <w:rPr>
          <w:b/>
          <w:color w:val="1F6F78"/>
          <w:sz w:val="21"/>
        </w:rPr>
        <w:t>Critères d'acceptation</w:t>
      </w:r>
    </w:p>
    <w:p>
      <w:pPr>
        <w:pStyle w:val="ListBullet"/>
        <w:spacing w:after="40"/>
      </w:pPr>
      <w:r>
        <w:t>Le compteur atteint précisément la valeur réelle.</w:t>
      </w:r>
    </w:p>
    <w:p>
      <w:pPr>
        <w:pStyle w:val="ListBullet"/>
        <w:spacing w:after="40"/>
      </w:pPr>
      <w:r>
        <w:t>L'animation respecte les préférences d'accessibilité.</w:t>
      </w:r>
    </w:p>
    <w:p>
      <w:pPr>
        <w:spacing w:after="160"/>
      </w:pPr>
    </w:p>
    <w:p>
      <w:pPr>
        <w:pStyle w:val="Heading3"/>
      </w:pPr>
      <w:r>
        <w:t>EF-012 — Évolution mensuelle du patrimoine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M — Must (indispensable)</w:t>
            </w:r>
          </w:p>
        </w:tc>
        <w:tc>
          <w:tcPr>
            <w:tcW w:type="dxa" w:w="1361"/>
            <w:tcMar>
              <w:top w:w="60" w:type="dxa"/>
              <w:bottom w:w="60" w:type="dxa"/>
              <w:start w:w="100" w:type="dxa"/>
              <w:end w:w="100" w:type="dxa"/>
            </w:tcMar>
          </w:tcPr>
          <w:p>
            <w:r/>
            <w:r>
              <w:rPr>
                <w:rFonts w:ascii="Calibri" w:hAnsi="Calibri"/>
                <w:b w:val="0"/>
                <w:sz w:val="19"/>
              </w:rPr>
              <w:t>P1</w:t>
            </w:r>
          </w:p>
        </w:tc>
        <w:tc>
          <w:tcPr>
            <w:tcW w:type="dxa" w:w="2608"/>
            <w:tcMar>
              <w:top w:w="60" w:type="dxa"/>
              <w:bottom w:w="60" w:type="dxa"/>
              <w:start w:w="100" w:type="dxa"/>
              <w:end w:w="100" w:type="dxa"/>
            </w:tcMar>
          </w:tcPr>
          <w:p>
            <w:r/>
            <w:r>
              <w:rPr>
                <w:rFonts w:ascii="Calibri" w:hAnsi="Calibri"/>
                <w:b w:val="0"/>
                <w:sz w:val="19"/>
              </w:rPr>
              <w:t>Accueil</w:t>
            </w:r>
          </w:p>
        </w:tc>
        <w:tc>
          <w:tcPr>
            <w:tcW w:type="dxa" w:w="2268"/>
            <w:tcMar>
              <w:top w:w="60" w:type="dxa"/>
              <w:bottom w:w="60" w:type="dxa"/>
              <w:start w:w="100" w:type="dxa"/>
              <w:end w:w="100" w:type="dxa"/>
            </w:tcMar>
          </w:tcPr>
          <w:p>
            <w:r/>
            <w:r>
              <w:rPr>
                <w:rFonts w:ascii="Calibri" w:hAnsi="Calibri"/>
                <w:b w:val="0"/>
                <w:sz w:val="19"/>
              </w:rPr>
              <w:t>N1</w:t>
            </w:r>
          </w:p>
        </w:tc>
      </w:tr>
    </w:tbl>
    <w:p>
      <w:pPr>
        <w:spacing w:after="120"/>
      </w:pPr>
    </w:p>
    <w:p>
      <w:pPr>
        <w:spacing w:before="80" w:after="20"/>
      </w:pPr>
      <w:r>
        <w:rPr>
          <w:b/>
          <w:color w:val="1F6F78"/>
          <w:sz w:val="21"/>
        </w:rPr>
        <w:t>Description</w:t>
      </w:r>
    </w:p>
    <w:p>
      <w:pPr>
        <w:spacing w:after="120"/>
      </w:pPr>
      <w:r>
        <w:rPr>
          <w:i w:val="0"/>
        </w:rPr>
        <w:t>Sous le patrimoine net, l'app affiche la variation depuis le mois précédent, en valeur absolue (centimes) et en pourcentage, avec un code couleur (hausse/baisse) et une formulation lisible. La période de comparaison est claire et le calcul est déterministe.</w:t>
      </w:r>
    </w:p>
    <w:p>
      <w:pPr>
        <w:spacing w:before="80" w:after="20"/>
      </w:pPr>
      <w:r>
        <w:rPr>
          <w:b/>
          <w:color w:val="1F6F78"/>
          <w:sz w:val="21"/>
        </w:rPr>
        <w:t>Valeur métier</w:t>
      </w:r>
    </w:p>
    <w:p>
      <w:pPr>
        <w:spacing w:after="120"/>
      </w:pPr>
      <w:r>
        <w:rPr>
          <w:i w:val="0"/>
        </w:rPr>
        <w:t>Donne immédiatement le sens de la trajectoire : est-ce que je progresse, et de combien ?</w:t>
      </w:r>
    </w:p>
    <w:p>
      <w:pPr>
        <w:spacing w:before="80" w:after="20"/>
      </w:pPr>
      <w:r>
        <w:rPr>
          <w:b/>
          <w:color w:val="1F6F78"/>
          <w:sz w:val="21"/>
        </w:rPr>
        <w:t>Histoires utilisateur</w:t>
      </w:r>
    </w:p>
    <w:p>
      <w:pPr>
        <w:pStyle w:val="ListBullet"/>
        <w:spacing w:after="40"/>
      </w:pPr>
      <w:r>
        <w:t>En tant qu'utilisateur, je veux savoir si mon patrimoine a augmenté ou diminué ce mois-ci, et de combien.</w:t>
      </w:r>
    </w:p>
    <w:p>
      <w:pPr>
        <w:spacing w:before="80" w:after="20"/>
      </w:pPr>
      <w:r>
        <w:rPr>
          <w:b/>
          <w:color w:val="1F6F78"/>
          <w:sz w:val="21"/>
        </w:rPr>
        <w:t>Règles de gestion</w:t>
      </w:r>
    </w:p>
    <w:p>
      <w:pPr>
        <w:pStyle w:val="ListBullet"/>
        <w:spacing w:after="40"/>
      </w:pPr>
      <w:r>
        <w:t>La variation compare la valeur courante à celle de la même date le mois précédent (ou à la dernière valorisation antérieure disponible).</w:t>
      </w:r>
    </w:p>
    <w:p>
      <w:pPr>
        <w:pStyle w:val="ListBullet"/>
        <w:spacing w:after="40"/>
      </w:pPr>
      <w:r>
        <w:t>Le pourcentage est calculé en interne sans perte de précision.</w:t>
      </w:r>
    </w:p>
    <w:p>
      <w:pPr>
        <w:pStyle w:val="ListBullet"/>
        <w:spacing w:after="40"/>
      </w:pPr>
      <w:r>
        <w:t>Le signe et la couleur reflètent la hausse ou la baisse.</w:t>
      </w:r>
    </w:p>
    <w:p>
      <w:pPr>
        <w:spacing w:before="80" w:after="20"/>
      </w:pPr>
      <w:r>
        <w:rPr>
          <w:b/>
          <w:color w:val="1F6F78"/>
          <w:sz w:val="21"/>
        </w:rPr>
        <w:t>Données &amp; calculs</w:t>
      </w:r>
    </w:p>
    <w:p>
      <w:pPr>
        <w:spacing w:after="120"/>
      </w:pPr>
      <w:r>
        <w:rPr>
          <w:i w:val="0"/>
        </w:rPr>
        <w:t>Historique de valorisations ; calcul de delta entre deux dates.</w:t>
      </w:r>
    </w:p>
    <w:p>
      <w:pPr>
        <w:spacing w:before="80" w:after="20"/>
      </w:pPr>
      <w:r>
        <w:rPr>
          <w:b/>
          <w:color w:val="1F6F78"/>
          <w:sz w:val="21"/>
        </w:rPr>
        <w:t>Critères d'acceptation</w:t>
      </w:r>
    </w:p>
    <w:p>
      <w:pPr>
        <w:pStyle w:val="ListBullet"/>
        <w:spacing w:after="40"/>
      </w:pPr>
      <w:r>
        <w:t>La variation affichée correspond à la différence réelle entre les deux périodes.</w:t>
      </w:r>
    </w:p>
    <w:p>
      <w:pPr>
        <w:pStyle w:val="ListBullet"/>
        <w:spacing w:after="40"/>
      </w:pPr>
      <w:r>
        <w:t>Le pourcentage est cohérent avec la variation en valeur.</w:t>
      </w:r>
    </w:p>
    <w:p>
      <w:pPr>
        <w:spacing w:after="160"/>
      </w:pPr>
    </w:p>
    <w:p>
      <w:pPr>
        <w:pStyle w:val="Heading3"/>
      </w:pPr>
      <w:r>
        <w:t>EF-013 — Graphe d'évolution du patrimoine net (scrubable)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M — Must (indispensable)</w:t>
            </w:r>
          </w:p>
        </w:tc>
        <w:tc>
          <w:tcPr>
            <w:tcW w:type="dxa" w:w="1361"/>
            <w:tcMar>
              <w:top w:w="60" w:type="dxa"/>
              <w:bottom w:w="60" w:type="dxa"/>
              <w:start w:w="100" w:type="dxa"/>
              <w:end w:w="100" w:type="dxa"/>
            </w:tcMar>
          </w:tcPr>
          <w:p>
            <w:r/>
            <w:r>
              <w:rPr>
                <w:rFonts w:ascii="Calibri" w:hAnsi="Calibri"/>
                <w:b w:val="0"/>
                <w:sz w:val="19"/>
              </w:rPr>
              <w:t>P1</w:t>
            </w:r>
          </w:p>
        </w:tc>
        <w:tc>
          <w:tcPr>
            <w:tcW w:type="dxa" w:w="2608"/>
            <w:tcMar>
              <w:top w:w="60" w:type="dxa"/>
              <w:bottom w:w="60" w:type="dxa"/>
              <w:start w:w="100" w:type="dxa"/>
              <w:end w:w="100" w:type="dxa"/>
            </w:tcMar>
          </w:tcPr>
          <w:p>
            <w:r/>
            <w:r>
              <w:rPr>
                <w:rFonts w:ascii="Calibri" w:hAnsi="Calibri"/>
                <w:b w:val="0"/>
                <w:sz w:val="19"/>
              </w:rPr>
              <w:t>Accueil</w:t>
            </w:r>
          </w:p>
        </w:tc>
        <w:tc>
          <w:tcPr>
            <w:tcW w:type="dxa" w:w="2268"/>
            <w:tcMar>
              <w:top w:w="60" w:type="dxa"/>
              <w:bottom w:w="60" w:type="dxa"/>
              <w:start w:w="100" w:type="dxa"/>
              <w:end w:w="100" w:type="dxa"/>
            </w:tcMar>
          </w:tcPr>
          <w:p>
            <w:r/>
            <w:r>
              <w:rPr>
                <w:rFonts w:ascii="Calibri" w:hAnsi="Calibri"/>
                <w:b w:val="0"/>
                <w:sz w:val="19"/>
              </w:rPr>
              <w:t>N1</w:t>
            </w:r>
          </w:p>
        </w:tc>
      </w:tr>
    </w:tbl>
    <w:p>
      <w:pPr>
        <w:spacing w:after="120"/>
      </w:pPr>
    </w:p>
    <w:p>
      <w:pPr>
        <w:spacing w:before="80" w:after="20"/>
      </w:pPr>
      <w:r>
        <w:rPr>
          <w:b/>
          <w:color w:val="1F6F78"/>
          <w:sz w:val="21"/>
        </w:rPr>
        <w:t>Description</w:t>
      </w:r>
    </w:p>
    <w:p>
      <w:pPr>
        <w:spacing w:after="120"/>
      </w:pPr>
      <w:r>
        <w:rPr>
          <w:i w:val="0"/>
        </w:rPr>
        <w:t>Un graphe présente l'évolution du patrimoine net dans le temps. L'utilisateur peut glisser le doigt sur la courbe (scrubbing) pour lire la valeur à une date précise, avec un repère et une étiquette qui suivent le doigt. Des plages temporelles (1 mois, 6 mois, 1 an, max) sont sélectionnables.</w:t>
      </w:r>
    </w:p>
    <w:p>
      <w:pPr>
        <w:spacing w:before="80" w:after="20"/>
      </w:pPr>
      <w:r>
        <w:rPr>
          <w:b/>
          <w:color w:val="1F6F78"/>
          <w:sz w:val="21"/>
        </w:rPr>
        <w:t>Valeur métier</w:t>
      </w:r>
    </w:p>
    <w:p>
      <w:pPr>
        <w:spacing w:after="120"/>
      </w:pPr>
      <w:r>
        <w:rPr>
          <w:i w:val="0"/>
        </w:rPr>
        <w:t>Rend la trajectoire tangible et explorable, et soutient la promesse « où je vais ».</w:t>
      </w:r>
    </w:p>
    <w:p>
      <w:pPr>
        <w:spacing w:before="80" w:after="20"/>
      </w:pPr>
      <w:r>
        <w:rPr>
          <w:b/>
          <w:color w:val="1F6F78"/>
          <w:sz w:val="21"/>
        </w:rPr>
        <w:t>Histoires utilisateur</w:t>
      </w:r>
    </w:p>
    <w:p>
      <w:pPr>
        <w:pStyle w:val="ListBullet"/>
        <w:spacing w:after="40"/>
      </w:pPr>
      <w:r>
        <w:t>En tant qu'utilisateur, je veux faire glisser mon doigt sur la courbe pour voir mon patrimoine à une date donnée.</w:t>
      </w:r>
    </w:p>
    <w:p>
      <w:pPr>
        <w:pStyle w:val="ListBullet"/>
        <w:spacing w:after="40"/>
      </w:pPr>
      <w:r>
        <w:t>En tant qu'utilisateur, je veux changer l'échelle de temps du graphe.</w:t>
      </w:r>
    </w:p>
    <w:p>
      <w:pPr>
        <w:spacing w:before="80" w:after="20"/>
      </w:pPr>
      <w:r>
        <w:rPr>
          <w:b/>
          <w:color w:val="1F6F78"/>
          <w:sz w:val="21"/>
        </w:rPr>
        <w:t>Règles de gestion</w:t>
      </w:r>
    </w:p>
    <w:p>
      <w:pPr>
        <w:pStyle w:val="ListBullet"/>
        <w:spacing w:after="40"/>
      </w:pPr>
      <w:r>
        <w:t>La courbe est reconstruite à partir de l'historique des valorisations.</w:t>
      </w:r>
    </w:p>
    <w:p>
      <w:pPr>
        <w:pStyle w:val="ListBullet"/>
        <w:spacing w:after="40"/>
      </w:pPr>
      <w:r>
        <w:t>Le scrubbing affiche la valeur exacte au point pointé, avec rétroaction haptique légère.</w:t>
      </w:r>
    </w:p>
    <w:p>
      <w:pPr>
        <w:pStyle w:val="ListBullet"/>
        <w:spacing w:after="40"/>
      </w:pPr>
      <w:r>
        <w:t>Les plages temporelles standard sont disponibles.</w:t>
      </w:r>
    </w:p>
    <w:p>
      <w:pPr>
        <w:spacing w:before="80" w:after="20"/>
      </w:pPr>
      <w:r>
        <w:rPr>
          <w:b/>
          <w:color w:val="1F6F78"/>
          <w:sz w:val="21"/>
        </w:rPr>
        <w:t>Données &amp; calculs</w:t>
      </w:r>
    </w:p>
    <w:p>
      <w:pPr>
        <w:spacing w:after="120"/>
      </w:pPr>
      <w:r>
        <w:rPr>
          <w:i w:val="0"/>
        </w:rPr>
        <w:t>Série temporelle de patrimoine net calculée à partir des valorisations datées.</w:t>
      </w:r>
    </w:p>
    <w:p>
      <w:pPr>
        <w:spacing w:before="80" w:after="20"/>
      </w:pPr>
      <w:r>
        <w:rPr>
          <w:b/>
          <w:color w:val="1F6F78"/>
          <w:sz w:val="21"/>
        </w:rPr>
        <w:t>Critères d'acceptation</w:t>
      </w:r>
    </w:p>
    <w:p>
      <w:pPr>
        <w:pStyle w:val="ListBullet"/>
        <w:spacing w:after="40"/>
      </w:pPr>
      <w:r>
        <w:t>Le point lu lors du scrubbing correspond à la valeur historique réelle.</w:t>
      </w:r>
    </w:p>
    <w:p>
      <w:pPr>
        <w:pStyle w:val="ListBullet"/>
        <w:spacing w:after="40"/>
      </w:pPr>
      <w:r>
        <w:t>Le changement de plage recompose correctement la courbe.</w:t>
      </w:r>
    </w:p>
    <w:p>
      <w:pPr>
        <w:spacing w:after="160"/>
      </w:pPr>
    </w:p>
    <w:p>
      <w:pPr>
        <w:pStyle w:val="Heading3"/>
      </w:pPr>
      <w:r>
        <w:t>EF-014 — Cash disponible réel</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M — Must (indispensable)</w:t>
            </w:r>
          </w:p>
        </w:tc>
        <w:tc>
          <w:tcPr>
            <w:tcW w:type="dxa" w:w="1361"/>
            <w:tcMar>
              <w:top w:w="60" w:type="dxa"/>
              <w:bottom w:w="60" w:type="dxa"/>
              <w:start w:w="100" w:type="dxa"/>
              <w:end w:w="100" w:type="dxa"/>
            </w:tcMar>
          </w:tcPr>
          <w:p>
            <w:r/>
            <w:r>
              <w:rPr>
                <w:rFonts w:ascii="Calibri" w:hAnsi="Calibri"/>
                <w:b w:val="0"/>
                <w:sz w:val="19"/>
              </w:rPr>
              <w:t>P1</w:t>
            </w:r>
          </w:p>
        </w:tc>
        <w:tc>
          <w:tcPr>
            <w:tcW w:type="dxa" w:w="2608"/>
            <w:tcMar>
              <w:top w:w="60" w:type="dxa"/>
              <w:bottom w:w="60" w:type="dxa"/>
              <w:start w:w="100" w:type="dxa"/>
              <w:end w:w="100" w:type="dxa"/>
            </w:tcMar>
          </w:tcPr>
          <w:p>
            <w:r/>
            <w:r>
              <w:rPr>
                <w:rFonts w:ascii="Calibri" w:hAnsi="Calibri"/>
                <w:b w:val="0"/>
                <w:sz w:val="19"/>
              </w:rPr>
              <w:t>Accueil</w:t>
            </w:r>
          </w:p>
        </w:tc>
        <w:tc>
          <w:tcPr>
            <w:tcW w:type="dxa" w:w="2268"/>
            <w:tcMar>
              <w:top w:w="60" w:type="dxa"/>
              <w:bottom w:w="60" w:type="dxa"/>
              <w:start w:w="100" w:type="dxa"/>
              <w:end w:w="100" w:type="dxa"/>
            </w:tcMar>
          </w:tcPr>
          <w:p>
            <w:r/>
            <w:r>
              <w:rPr>
                <w:rFonts w:ascii="Calibri" w:hAnsi="Calibri"/>
                <w:b w:val="0"/>
                <w:sz w:val="19"/>
              </w:rPr>
              <w:t>N1</w:t>
            </w:r>
          </w:p>
        </w:tc>
      </w:tr>
    </w:tbl>
    <w:p>
      <w:pPr>
        <w:spacing w:after="120"/>
      </w:pPr>
    </w:p>
    <w:p>
      <w:pPr>
        <w:spacing w:before="80" w:after="20"/>
      </w:pPr>
      <w:r>
        <w:rPr>
          <w:b/>
          <w:color w:val="1F6F78"/>
          <w:sz w:val="21"/>
        </w:rPr>
        <w:t>Description</w:t>
      </w:r>
    </w:p>
    <w:p>
      <w:pPr>
        <w:spacing w:after="120"/>
      </w:pPr>
      <w:r>
        <w:rPr>
          <w:i w:val="0"/>
        </w:rPr>
        <w:t>L'accueil affiche le cash réellement disponible, c'est-à-dire la somme des soldes des actifs liquides (comptes courants, livrets accessibles), distinct du patrimoine net. Cette valeur répond à « combien puis-je dépenser maintenant ? » sans confondre liquidités et patrimoine immobilisé.</w:t>
      </w:r>
    </w:p>
    <w:p>
      <w:pPr>
        <w:spacing w:before="80" w:after="20"/>
      </w:pPr>
      <w:r>
        <w:rPr>
          <w:b/>
          <w:color w:val="1F6F78"/>
          <w:sz w:val="21"/>
        </w:rPr>
        <w:t>Valeur métier</w:t>
      </w:r>
    </w:p>
    <w:p>
      <w:pPr>
        <w:spacing w:after="120"/>
      </w:pPr>
      <w:r>
        <w:rPr>
          <w:i w:val="0"/>
        </w:rPr>
        <w:t>Évite la confusion entre richesse patrimoniale et trésorerie mobilisable.</w:t>
      </w:r>
    </w:p>
    <w:p>
      <w:pPr>
        <w:spacing w:before="80" w:after="20"/>
      </w:pPr>
      <w:r>
        <w:rPr>
          <w:b/>
          <w:color w:val="1F6F78"/>
          <w:sz w:val="21"/>
        </w:rPr>
        <w:t>Histoires utilisateur</w:t>
      </w:r>
    </w:p>
    <w:p>
      <w:pPr>
        <w:pStyle w:val="ListBullet"/>
        <w:spacing w:after="40"/>
      </w:pPr>
      <w:r>
        <w:t>En tant qu'utilisateur, je veux distinguer mon cash disponible de mon patrimoine total.</w:t>
      </w:r>
    </w:p>
    <w:p>
      <w:pPr>
        <w:spacing w:before="80" w:after="20"/>
      </w:pPr>
      <w:r>
        <w:rPr>
          <w:b/>
          <w:color w:val="1F6F78"/>
          <w:sz w:val="21"/>
        </w:rPr>
        <w:t>Règles de gestion</w:t>
      </w:r>
    </w:p>
    <w:p>
      <w:pPr>
        <w:pStyle w:val="ListBullet"/>
        <w:spacing w:after="40"/>
      </w:pPr>
      <w:r>
        <w:t>Le cash disponible additionne les actifs marqués comme liquides.</w:t>
      </w:r>
    </w:p>
    <w:p>
      <w:pPr>
        <w:pStyle w:val="ListBullet"/>
        <w:spacing w:after="40"/>
      </w:pPr>
      <w:r>
        <w:t>Les placements bloqués et l'immobilier sont exclus du cash disponible.</w:t>
      </w:r>
    </w:p>
    <w:p>
      <w:pPr>
        <w:pStyle w:val="ListBullet"/>
        <w:spacing w:after="40"/>
      </w:pPr>
      <w:r>
        <w:t>Le calcul est déterministe et en centimes.</w:t>
      </w:r>
    </w:p>
    <w:p>
      <w:pPr>
        <w:spacing w:before="80" w:after="20"/>
      </w:pPr>
      <w:r>
        <w:rPr>
          <w:b/>
          <w:color w:val="1F6F78"/>
          <w:sz w:val="21"/>
        </w:rPr>
        <w:t>Données &amp; calculs</w:t>
      </w:r>
    </w:p>
    <w:p>
      <w:pPr>
        <w:spacing w:after="120"/>
      </w:pPr>
      <w:r>
        <w:rPr>
          <w:i w:val="0"/>
        </w:rPr>
        <w:t>Actifs liquides (type de compte) et leur dernière valorisation.</w:t>
      </w:r>
    </w:p>
    <w:p>
      <w:pPr>
        <w:spacing w:before="80" w:after="20"/>
      </w:pPr>
      <w:r>
        <w:rPr>
          <w:b/>
          <w:color w:val="1F6F78"/>
          <w:sz w:val="21"/>
        </w:rPr>
        <w:t>Critères d'acceptation</w:t>
      </w:r>
    </w:p>
    <w:p>
      <w:pPr>
        <w:pStyle w:val="ListBullet"/>
        <w:spacing w:after="40"/>
      </w:pPr>
      <w:r>
        <w:t>Le cash affiché correspond à la somme des soldes liquides.</w:t>
      </w:r>
    </w:p>
    <w:p>
      <w:pPr>
        <w:pStyle w:val="ListBullet"/>
        <w:spacing w:after="40"/>
      </w:pPr>
      <w:r>
        <w:t>Les actifs non liquides n'y sont pas inclus.</w:t>
      </w:r>
    </w:p>
    <w:p>
      <w:pPr>
        <w:spacing w:after="160"/>
      </w:pPr>
    </w:p>
    <w:p>
      <w:pPr>
        <w:pStyle w:val="Heading3"/>
      </w:pPr>
      <w:r>
        <w:t>EF-015 — Score de santé financière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S — Should (important)</w:t>
            </w:r>
          </w:p>
        </w:tc>
        <w:tc>
          <w:tcPr>
            <w:tcW w:type="dxa" w:w="1361"/>
            <w:tcMar>
              <w:top w:w="60" w:type="dxa"/>
              <w:bottom w:w="60" w:type="dxa"/>
              <w:start w:w="100" w:type="dxa"/>
              <w:end w:w="100" w:type="dxa"/>
            </w:tcMar>
          </w:tcPr>
          <w:p>
            <w:r/>
            <w:r>
              <w:rPr>
                <w:rFonts w:ascii="Calibri" w:hAnsi="Calibri"/>
                <w:b w:val="0"/>
                <w:sz w:val="19"/>
              </w:rPr>
              <w:t>P4</w:t>
            </w:r>
          </w:p>
        </w:tc>
        <w:tc>
          <w:tcPr>
            <w:tcW w:type="dxa" w:w="2608"/>
            <w:tcMar>
              <w:top w:w="60" w:type="dxa"/>
              <w:bottom w:w="60" w:type="dxa"/>
              <w:start w:w="100" w:type="dxa"/>
              <w:end w:w="100" w:type="dxa"/>
            </w:tcMar>
          </w:tcPr>
          <w:p>
            <w:r/>
            <w:r>
              <w:rPr>
                <w:rFonts w:ascii="Calibri" w:hAnsi="Calibri"/>
                <w:b w:val="0"/>
                <w:sz w:val="19"/>
              </w:rPr>
              <w:t>Accueil</w:t>
            </w:r>
          </w:p>
        </w:tc>
        <w:tc>
          <w:tcPr>
            <w:tcW w:type="dxa" w:w="2268"/>
            <w:tcMar>
              <w:top w:w="60" w:type="dxa"/>
              <w:bottom w:w="60" w:type="dxa"/>
              <w:start w:w="100" w:type="dxa"/>
              <w:end w:w="100" w:type="dxa"/>
            </w:tcMar>
          </w:tcPr>
          <w:p>
            <w:r/>
            <w:r>
              <w:rPr>
                <w:rFonts w:ascii="Calibri" w:hAnsi="Calibri"/>
                <w:b w:val="0"/>
                <w:sz w:val="19"/>
              </w:rPr>
              <w:t>N2</w:t>
            </w:r>
          </w:p>
        </w:tc>
      </w:tr>
    </w:tbl>
    <w:p>
      <w:pPr>
        <w:spacing w:after="120"/>
      </w:pPr>
    </w:p>
    <w:p>
      <w:pPr>
        <w:spacing w:before="80" w:after="20"/>
      </w:pPr>
      <w:r>
        <w:rPr>
          <w:b/>
          <w:color w:val="1F6F78"/>
          <w:sz w:val="21"/>
        </w:rPr>
        <w:t>Description</w:t>
      </w:r>
    </w:p>
    <w:p>
      <w:pPr>
        <w:spacing w:after="120"/>
      </w:pPr>
      <w:r>
        <w:rPr>
          <w:i w:val="0"/>
        </w:rPr>
        <w:t>Un score sur 100 synthétise la santé financière du profil à partir d'indicateurs objectifs : niveau de fonds d'urgence, taux d'épargne, poids des dettes, diversification, dépendance à un revenu unique, part de cash dormant. Le score s'accompagne d'une explication des points forts et des points faibles. Le calcul des indicateurs est déterministe ; l'IA peut rédiger l'explication mais ne produit aucun chiffre.</w:t>
      </w:r>
    </w:p>
    <w:p>
      <w:pPr>
        <w:spacing w:before="80" w:after="20"/>
      </w:pPr>
      <w:r>
        <w:rPr>
          <w:b/>
          <w:color w:val="1F6F78"/>
          <w:sz w:val="21"/>
        </w:rPr>
        <w:t>Valeur métier</w:t>
      </w:r>
    </w:p>
    <w:p>
      <w:pPr>
        <w:spacing w:after="120"/>
      </w:pPr>
      <w:r>
        <w:rPr>
          <w:i w:val="0"/>
        </w:rPr>
        <w:t>Transforme une situation complexe en un repère unique et actionnable, avec des leviers d'amélioration clairs.</w:t>
      </w:r>
    </w:p>
    <w:p>
      <w:pPr>
        <w:spacing w:before="80" w:after="20"/>
      </w:pPr>
      <w:r>
        <w:rPr>
          <w:b/>
          <w:color w:val="1F6F78"/>
          <w:sz w:val="21"/>
        </w:rPr>
        <w:t>Histoires utilisateur</w:t>
      </w:r>
    </w:p>
    <w:p>
      <w:pPr>
        <w:pStyle w:val="ListBullet"/>
        <w:spacing w:after="40"/>
      </w:pPr>
      <w:r>
        <w:t>En tant qu'utilisateur, je veux un score simple qui résume ma santé financière.</w:t>
      </w:r>
    </w:p>
    <w:p>
      <w:pPr>
        <w:pStyle w:val="ListBullet"/>
        <w:spacing w:after="40"/>
      </w:pPr>
      <w:r>
        <w:t>En tant qu'utilisateur, je veux comprendre ce qui pèse sur mon score et comment l'améliorer.</w:t>
      </w:r>
    </w:p>
    <w:p>
      <w:pPr>
        <w:spacing w:before="80" w:after="20"/>
      </w:pPr>
      <w:r>
        <w:rPr>
          <w:b/>
          <w:color w:val="1F6F78"/>
          <w:sz w:val="21"/>
        </w:rPr>
        <w:t>Règles de gestion</w:t>
      </w:r>
    </w:p>
    <w:p>
      <w:pPr>
        <w:pStyle w:val="ListBullet"/>
        <w:spacing w:after="40"/>
      </w:pPr>
      <w:r>
        <w:t>Le score agrège des indicateurs pondérés et documentés.</w:t>
      </w:r>
    </w:p>
    <w:p>
      <w:pPr>
        <w:pStyle w:val="ListBullet"/>
        <w:spacing w:after="40"/>
      </w:pPr>
      <w:r>
        <w:t>Chaque composante est explicable (points forts/faibles).</w:t>
      </w:r>
    </w:p>
    <w:p>
      <w:pPr>
        <w:pStyle w:val="ListBullet"/>
        <w:spacing w:after="40"/>
      </w:pPr>
      <w:r>
        <w:t>Tous les chiffres proviennent du moteur déterministe ; l'IA n'écrit que le texte.</w:t>
      </w:r>
    </w:p>
    <w:p>
      <w:pPr>
        <w:spacing w:before="80" w:after="20"/>
      </w:pPr>
      <w:r>
        <w:rPr>
          <w:b/>
          <w:color w:val="1F6F78"/>
          <w:sz w:val="21"/>
        </w:rPr>
        <w:t>Données &amp; calculs</w:t>
      </w:r>
    </w:p>
    <w:p>
      <w:pPr>
        <w:spacing w:after="120"/>
      </w:pPr>
      <w:r>
        <w:rPr>
          <w:i w:val="0"/>
        </w:rPr>
        <w:t>Indicateurs dérivés : fonds d'urgence (mois de charges), taux d'épargne, ratio d'endettement, diversification, etc.</w:t>
      </w:r>
    </w:p>
    <w:p>
      <w:pPr>
        <w:spacing w:before="80" w:after="20"/>
      </w:pPr>
      <w:r>
        <w:rPr>
          <w:b/>
          <w:color w:val="1F6F78"/>
          <w:sz w:val="21"/>
        </w:rPr>
        <w:t>Critères d'acceptation</w:t>
      </w:r>
    </w:p>
    <w:p>
      <w:pPr>
        <w:pStyle w:val="ListBullet"/>
        <w:spacing w:after="40"/>
      </w:pPr>
      <w:r>
        <w:t>Le score et ses composantes sont reproductibles à données égales.</w:t>
      </w:r>
    </w:p>
    <w:p>
      <w:pPr>
        <w:pStyle w:val="ListBullet"/>
        <w:spacing w:after="40"/>
      </w:pPr>
      <w:r>
        <w:t>L'explication ne contient aucun chiffre non issu du moteur.</w:t>
      </w:r>
    </w:p>
    <w:p>
      <w:pPr>
        <w:spacing w:after="160"/>
      </w:pPr>
    </w:p>
    <w:p>
      <w:pPr>
        <w:pStyle w:val="Heading3"/>
      </w:pPr>
      <w:r>
        <w:t>EF-016 — Jalons et paliers de patrimoine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C — Could (souhaitable)</w:t>
            </w:r>
          </w:p>
        </w:tc>
        <w:tc>
          <w:tcPr>
            <w:tcW w:type="dxa" w:w="1361"/>
            <w:tcMar>
              <w:top w:w="60" w:type="dxa"/>
              <w:bottom w:w="60" w:type="dxa"/>
              <w:start w:w="100" w:type="dxa"/>
              <w:end w:w="100" w:type="dxa"/>
            </w:tcMar>
          </w:tcPr>
          <w:p>
            <w:r/>
            <w:r>
              <w:rPr>
                <w:rFonts w:ascii="Calibri" w:hAnsi="Calibri"/>
                <w:b w:val="0"/>
                <w:sz w:val="19"/>
              </w:rPr>
              <w:t>P4</w:t>
            </w:r>
          </w:p>
        </w:tc>
        <w:tc>
          <w:tcPr>
            <w:tcW w:type="dxa" w:w="2608"/>
            <w:tcMar>
              <w:top w:w="60" w:type="dxa"/>
              <w:bottom w:w="60" w:type="dxa"/>
              <w:start w:w="100" w:type="dxa"/>
              <w:end w:w="100" w:type="dxa"/>
            </w:tcMar>
          </w:tcPr>
          <w:p>
            <w:r/>
            <w:r>
              <w:rPr>
                <w:rFonts w:ascii="Calibri" w:hAnsi="Calibri"/>
                <w:b w:val="0"/>
                <w:sz w:val="19"/>
              </w:rPr>
              <w:t>Accueil</w:t>
            </w:r>
          </w:p>
        </w:tc>
        <w:tc>
          <w:tcPr>
            <w:tcW w:type="dxa" w:w="2268"/>
            <w:tcMar>
              <w:top w:w="60" w:type="dxa"/>
              <w:bottom w:w="60" w:type="dxa"/>
              <w:start w:w="100" w:type="dxa"/>
              <w:end w:w="100" w:type="dxa"/>
            </w:tcMar>
          </w:tcPr>
          <w:p>
            <w:r/>
            <w:r>
              <w:rPr>
                <w:rFonts w:ascii="Calibri" w:hAnsi="Calibri"/>
                <w:b w:val="0"/>
                <w:sz w:val="19"/>
              </w:rPr>
              <w:t>N1</w:t>
            </w:r>
          </w:p>
        </w:tc>
      </w:tr>
    </w:tbl>
    <w:p>
      <w:pPr>
        <w:spacing w:after="120"/>
      </w:pPr>
    </w:p>
    <w:p>
      <w:pPr>
        <w:spacing w:before="80" w:after="20"/>
      </w:pPr>
      <w:r>
        <w:rPr>
          <w:b/>
          <w:color w:val="1F6F78"/>
          <w:sz w:val="21"/>
        </w:rPr>
        <w:t>Description</w:t>
      </w:r>
    </w:p>
    <w:p>
      <w:pPr>
        <w:spacing w:after="120"/>
      </w:pPr>
      <w:r>
        <w:rPr>
          <w:i w:val="0"/>
        </w:rPr>
        <w:t>L'app reconnaît et célèbre les paliers patrimoniaux : premiers 10 000 €, 100 000 €, constitution d'un fonds d'urgence (par exemple 6 mois de charges), etc. L'atteinte d'un palier déclenche une célébration visuelle (particules/confettis) et une rétroaction haptique. L'utilisateur peut consulter les jalons franchis et à venir.</w:t>
      </w:r>
    </w:p>
    <w:p>
      <w:pPr>
        <w:spacing w:before="80" w:after="20"/>
      </w:pPr>
      <w:r>
        <w:rPr>
          <w:b/>
          <w:color w:val="1F6F78"/>
          <w:sz w:val="21"/>
        </w:rPr>
        <w:t>Valeur métier</w:t>
      </w:r>
    </w:p>
    <w:p>
      <w:pPr>
        <w:spacing w:after="120"/>
      </w:pPr>
      <w:r>
        <w:rPr>
          <w:i w:val="0"/>
        </w:rPr>
        <w:t>Introduit une gamification motivante et émotionnelle, renforçant l'habitude et le sentiment de progression.</w:t>
      </w:r>
    </w:p>
    <w:p>
      <w:pPr>
        <w:spacing w:before="80" w:after="20"/>
      </w:pPr>
      <w:r>
        <w:rPr>
          <w:b/>
          <w:color w:val="1F6F78"/>
          <w:sz w:val="21"/>
        </w:rPr>
        <w:t>Histoires utilisateur</w:t>
      </w:r>
    </w:p>
    <w:p>
      <w:pPr>
        <w:pStyle w:val="ListBullet"/>
        <w:spacing w:after="40"/>
      </w:pPr>
      <w:r>
        <w:t>En tant qu'utilisateur, je veux être félicité quand j'atteins un palier important.</w:t>
      </w:r>
    </w:p>
    <w:p>
      <w:pPr>
        <w:pStyle w:val="ListBullet"/>
        <w:spacing w:after="40"/>
      </w:pPr>
      <w:r>
        <w:t>En tant qu'utilisateur, je veux voir le prochain jalon à atteindre.</w:t>
      </w:r>
    </w:p>
    <w:p>
      <w:pPr>
        <w:spacing w:before="80" w:after="20"/>
      </w:pPr>
      <w:r>
        <w:rPr>
          <w:b/>
          <w:color w:val="1F6F78"/>
          <w:sz w:val="21"/>
        </w:rPr>
        <w:t>Règles de gestion</w:t>
      </w:r>
    </w:p>
    <w:p>
      <w:pPr>
        <w:pStyle w:val="ListBullet"/>
        <w:spacing w:after="40"/>
      </w:pPr>
      <w:r>
        <w:t>Les jalons standard sont prédéfinis et personnalisables.</w:t>
      </w:r>
    </w:p>
    <w:p>
      <w:pPr>
        <w:pStyle w:val="ListBullet"/>
        <w:spacing w:after="40"/>
      </w:pPr>
      <w:r>
        <w:t>La célébration se déclenche une seule fois par franchissement.</w:t>
      </w:r>
    </w:p>
    <w:p>
      <w:pPr>
        <w:pStyle w:val="ListBullet"/>
        <w:spacing w:after="40"/>
      </w:pPr>
      <w:r>
        <w:t>Le fonds d'urgence est exprimé en mois de charges courantes.</w:t>
      </w:r>
    </w:p>
    <w:p>
      <w:pPr>
        <w:spacing w:before="80" w:after="20"/>
      </w:pPr>
      <w:r>
        <w:rPr>
          <w:b/>
          <w:color w:val="1F6F78"/>
          <w:sz w:val="21"/>
        </w:rPr>
        <w:t>Données &amp; calculs</w:t>
      </w:r>
    </w:p>
    <w:p>
      <w:pPr>
        <w:spacing w:after="120"/>
      </w:pPr>
      <w:r>
        <w:rPr>
          <w:i w:val="0"/>
        </w:rPr>
        <w:t>Jalons (seuils) ; état franchi/à venir ; lien avec le patrimoine net et les charges.</w:t>
      </w:r>
    </w:p>
    <w:p>
      <w:pPr>
        <w:spacing w:before="80" w:after="20"/>
      </w:pPr>
      <w:r>
        <w:rPr>
          <w:b/>
          <w:color w:val="1F6F78"/>
          <w:sz w:val="21"/>
        </w:rPr>
        <w:t>Critères d'acceptation</w:t>
      </w:r>
    </w:p>
    <w:p>
      <w:pPr>
        <w:pStyle w:val="ListBullet"/>
        <w:spacing w:after="40"/>
      </w:pPr>
      <w:r>
        <w:t>Le franchissement d'un seuil déclenche la célébration correspondante.</w:t>
      </w:r>
    </w:p>
    <w:p>
      <w:pPr>
        <w:pStyle w:val="ListBullet"/>
        <w:spacing w:after="40"/>
      </w:pPr>
      <w:r>
        <w:t>Les jalons franchis et à venir sont listés correctement.</w:t>
      </w:r>
    </w:p>
    <w:p>
      <w:pPr>
        <w:spacing w:after="160"/>
      </w:pPr>
    </w:p>
    <w:p>
      <w:pPr>
        <w:pStyle w:val="Heading2"/>
      </w:pPr>
      <w:r>
        <w:t>7.3 Onglet Flux</w:t>
      </w:r>
    </w:p>
    <w:p>
      <w:pPr>
        <w:spacing w:after="120"/>
      </w:pPr>
      <w:r>
        <w:rPr>
          <w:i/>
          <w:color w:val="5B6670"/>
        </w:rPr>
        <w:t>Le quotidien financier : transactions, import, catégorisation intelligente, calendrier, abonnements, trésorerie projetée et enveloppes.</w:t>
      </w:r>
    </w:p>
    <w:p>
      <w:pPr>
        <w:pStyle w:val="Heading3"/>
      </w:pPr>
      <w:r>
        <w:t>EF-020 — Liste des revenus/dépenses, recherche et filtres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M — Must (indispensable)</w:t>
            </w:r>
          </w:p>
        </w:tc>
        <w:tc>
          <w:tcPr>
            <w:tcW w:type="dxa" w:w="1361"/>
            <w:tcMar>
              <w:top w:w="60" w:type="dxa"/>
              <w:bottom w:w="60" w:type="dxa"/>
              <w:start w:w="100" w:type="dxa"/>
              <w:end w:w="100" w:type="dxa"/>
            </w:tcMar>
          </w:tcPr>
          <w:p>
            <w:r/>
            <w:r>
              <w:rPr>
                <w:rFonts w:ascii="Calibri" w:hAnsi="Calibri"/>
                <w:b w:val="0"/>
                <w:sz w:val="19"/>
              </w:rPr>
              <w:t>P3</w:t>
            </w:r>
          </w:p>
        </w:tc>
        <w:tc>
          <w:tcPr>
            <w:tcW w:type="dxa" w:w="2608"/>
            <w:tcMar>
              <w:top w:w="60" w:type="dxa"/>
              <w:bottom w:w="60" w:type="dxa"/>
              <w:start w:w="100" w:type="dxa"/>
              <w:end w:w="100" w:type="dxa"/>
            </w:tcMar>
          </w:tcPr>
          <w:p>
            <w:r/>
            <w:r>
              <w:rPr>
                <w:rFonts w:ascii="Calibri" w:hAnsi="Calibri"/>
                <w:b w:val="0"/>
                <w:sz w:val="19"/>
              </w:rPr>
              <w:t>Flux</w:t>
            </w:r>
          </w:p>
        </w:tc>
        <w:tc>
          <w:tcPr>
            <w:tcW w:type="dxa" w:w="2268"/>
            <w:tcMar>
              <w:top w:w="60" w:type="dxa"/>
              <w:bottom w:w="60" w:type="dxa"/>
              <w:start w:w="100" w:type="dxa"/>
              <w:end w:w="100" w:type="dxa"/>
            </w:tcMar>
          </w:tcPr>
          <w:p>
            <w:r/>
            <w:r>
              <w:rPr>
                <w:rFonts w:ascii="Calibri" w:hAnsi="Calibri"/>
                <w:b w:val="0"/>
                <w:sz w:val="19"/>
              </w:rPr>
              <w:t>N1</w:t>
            </w:r>
          </w:p>
        </w:tc>
      </w:tr>
    </w:tbl>
    <w:p>
      <w:pPr>
        <w:spacing w:after="120"/>
      </w:pPr>
    </w:p>
    <w:p>
      <w:pPr>
        <w:spacing w:before="80" w:after="20"/>
      </w:pPr>
      <w:r>
        <w:rPr>
          <w:b/>
          <w:color w:val="1F6F78"/>
          <w:sz w:val="21"/>
        </w:rPr>
        <w:t>Description</w:t>
      </w:r>
    </w:p>
    <w:p>
      <w:pPr>
        <w:spacing w:after="120"/>
      </w:pPr>
      <w:r>
        <w:rPr>
          <w:i w:val="0"/>
        </w:rPr>
        <w:t>L'onglet Flux liste les transactions (revenus et dépenses) par ordre chronologique, avec recherche plein texte (libellé, montant, catégorie) et filtres combinables (période, catégorie, compte, type, étiquette, montant). Le défilement est fluide même sur de gros volumes, et les regroupements par jour/semaine/mois sont lisibles.</w:t>
      </w:r>
    </w:p>
    <w:p>
      <w:pPr>
        <w:spacing w:before="80" w:after="20"/>
      </w:pPr>
      <w:r>
        <w:rPr>
          <w:b/>
          <w:color w:val="1F6F78"/>
          <w:sz w:val="21"/>
        </w:rPr>
        <w:t>Valeur métier</w:t>
      </w:r>
    </w:p>
    <w:p>
      <w:pPr>
        <w:spacing w:after="120"/>
      </w:pPr>
      <w:r>
        <w:rPr>
          <w:i w:val="0"/>
        </w:rPr>
        <w:t>Donne un accès rapide et précis à l'historique des mouvements, base de toute analyse.</w:t>
      </w:r>
    </w:p>
    <w:p>
      <w:pPr>
        <w:spacing w:before="80" w:after="20"/>
      </w:pPr>
      <w:r>
        <w:rPr>
          <w:b/>
          <w:color w:val="1F6F78"/>
          <w:sz w:val="21"/>
        </w:rPr>
        <w:t>Histoires utilisateur</w:t>
      </w:r>
    </w:p>
    <w:p>
      <w:pPr>
        <w:pStyle w:val="ListBullet"/>
        <w:spacing w:after="40"/>
      </w:pPr>
      <w:r>
        <w:t>En tant qu'utilisateur, je veux retrouver une dépense précise en quelques secondes.</w:t>
      </w:r>
    </w:p>
    <w:p>
      <w:pPr>
        <w:pStyle w:val="ListBullet"/>
        <w:spacing w:after="40"/>
      </w:pPr>
      <w:r>
        <w:t>En tant qu'utilisateur, je veux filtrer mes dépenses d'une catégorie sur une période.</w:t>
      </w:r>
    </w:p>
    <w:p>
      <w:pPr>
        <w:spacing w:before="80" w:after="20"/>
      </w:pPr>
      <w:r>
        <w:rPr>
          <w:b/>
          <w:color w:val="1F6F78"/>
          <w:sz w:val="21"/>
        </w:rPr>
        <w:t>Règles de gestion</w:t>
      </w:r>
    </w:p>
    <w:p>
      <w:pPr>
        <w:pStyle w:val="ListBullet"/>
        <w:spacing w:after="40"/>
      </w:pPr>
      <w:r>
        <w:t>La recherche couvre libellé, montant et catégorie.</w:t>
      </w:r>
    </w:p>
    <w:p>
      <w:pPr>
        <w:pStyle w:val="ListBullet"/>
        <w:spacing w:after="40"/>
      </w:pPr>
      <w:r>
        <w:t>Les filtres sont combinables et persistants le temps de la session.</w:t>
      </w:r>
    </w:p>
    <w:p>
      <w:pPr>
        <w:pStyle w:val="ListBullet"/>
        <w:spacing w:after="40"/>
      </w:pPr>
      <w:r>
        <w:t>Les montants sont affichés en centimes formatés, jamais en flottant.</w:t>
      </w:r>
    </w:p>
    <w:p>
      <w:pPr>
        <w:spacing w:before="80" w:after="20"/>
      </w:pPr>
      <w:r>
        <w:rPr>
          <w:b/>
          <w:color w:val="1F6F78"/>
          <w:sz w:val="21"/>
        </w:rPr>
        <w:t>Données &amp; calculs</w:t>
      </w:r>
    </w:p>
    <w:p>
      <w:pPr>
        <w:spacing w:after="120"/>
      </w:pPr>
      <w:r>
        <w:rPr>
          <w:i w:val="0"/>
        </w:rPr>
        <w:t>Entité Transaction (montant en centimes, date, libellé, compte, catégorie, étiquettes, split).</w:t>
      </w:r>
    </w:p>
    <w:p>
      <w:pPr>
        <w:spacing w:before="80" w:after="20"/>
      </w:pPr>
      <w:r>
        <w:rPr>
          <w:b/>
          <w:color w:val="1F6F78"/>
          <w:sz w:val="21"/>
        </w:rPr>
        <w:t>Critères d'acceptation</w:t>
      </w:r>
    </w:p>
    <w:p>
      <w:pPr>
        <w:pStyle w:val="ListBullet"/>
        <w:spacing w:after="40"/>
      </w:pPr>
      <w:r>
        <w:t>Une recherche retourne les transactions pertinentes.</w:t>
      </w:r>
    </w:p>
    <w:p>
      <w:pPr>
        <w:pStyle w:val="ListBullet"/>
        <w:spacing w:after="40"/>
      </w:pPr>
      <w:r>
        <w:t>Les filtres combinés produisent un résultat correct et cohérent.</w:t>
      </w:r>
    </w:p>
    <w:p>
      <w:pPr>
        <w:spacing w:after="160"/>
      </w:pPr>
    </w:p>
    <w:p>
      <w:pPr>
        <w:pStyle w:val="Heading3"/>
      </w:pPr>
      <w:r>
        <w:t>EF-021 — Import de transactions CSV/OFX</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M — Must (indispensable)</w:t>
            </w:r>
          </w:p>
        </w:tc>
        <w:tc>
          <w:tcPr>
            <w:tcW w:type="dxa" w:w="1361"/>
            <w:tcMar>
              <w:top w:w="60" w:type="dxa"/>
              <w:bottom w:w="60" w:type="dxa"/>
              <w:start w:w="100" w:type="dxa"/>
              <w:end w:w="100" w:type="dxa"/>
            </w:tcMar>
          </w:tcPr>
          <w:p>
            <w:r/>
            <w:r>
              <w:rPr>
                <w:rFonts w:ascii="Calibri" w:hAnsi="Calibri"/>
                <w:b w:val="0"/>
                <w:sz w:val="19"/>
              </w:rPr>
              <w:t>P3</w:t>
            </w:r>
          </w:p>
        </w:tc>
        <w:tc>
          <w:tcPr>
            <w:tcW w:type="dxa" w:w="2608"/>
            <w:tcMar>
              <w:top w:w="60" w:type="dxa"/>
              <w:bottom w:w="60" w:type="dxa"/>
              <w:start w:w="100" w:type="dxa"/>
              <w:end w:w="100" w:type="dxa"/>
            </w:tcMar>
          </w:tcPr>
          <w:p>
            <w:r/>
            <w:r>
              <w:rPr>
                <w:rFonts w:ascii="Calibri" w:hAnsi="Calibri"/>
                <w:b w:val="0"/>
                <w:sz w:val="19"/>
              </w:rPr>
              <w:t>Flux</w:t>
            </w:r>
          </w:p>
        </w:tc>
        <w:tc>
          <w:tcPr>
            <w:tcW w:type="dxa" w:w="2268"/>
            <w:tcMar>
              <w:top w:w="60" w:type="dxa"/>
              <w:bottom w:w="60" w:type="dxa"/>
              <w:start w:w="100" w:type="dxa"/>
              <w:end w:w="100" w:type="dxa"/>
            </w:tcMar>
          </w:tcPr>
          <w:p>
            <w:r/>
            <w:r>
              <w:rPr>
                <w:rFonts w:ascii="Calibri" w:hAnsi="Calibri"/>
                <w:b w:val="0"/>
                <w:sz w:val="19"/>
              </w:rPr>
              <w:t>N1</w:t>
            </w:r>
          </w:p>
        </w:tc>
      </w:tr>
    </w:tbl>
    <w:p>
      <w:pPr>
        <w:spacing w:after="120"/>
      </w:pPr>
    </w:p>
    <w:p>
      <w:pPr>
        <w:spacing w:before="80" w:after="20"/>
      </w:pPr>
      <w:r>
        <w:rPr>
          <w:b/>
          <w:color w:val="1F6F78"/>
          <w:sz w:val="21"/>
        </w:rPr>
        <w:t>Description</w:t>
      </w:r>
    </w:p>
    <w:p>
      <w:pPr>
        <w:spacing w:after="120"/>
      </w:pPr>
      <w:r>
        <w:rPr>
          <w:i w:val="0"/>
        </w:rPr>
        <w:t>L'utilisateur importe ses transactions depuis des fichiers CSV ou OFX exportés par sa banque. L'import propose un mappage des colonnes (date, libellé, montant, devise), détecte et évite les doublons, et rattache les transactions au bon compte. Les montants sont convertis en centimes entiers à l'import.</w:t>
      </w:r>
    </w:p>
    <w:p>
      <w:pPr>
        <w:spacing w:before="80" w:after="20"/>
      </w:pPr>
      <w:r>
        <w:rPr>
          <w:b/>
          <w:color w:val="1F6F78"/>
          <w:sz w:val="21"/>
        </w:rPr>
        <w:t>Valeur métier</w:t>
      </w:r>
    </w:p>
    <w:p>
      <w:pPr>
        <w:spacing w:after="120"/>
      </w:pPr>
      <w:r>
        <w:rPr>
          <w:i w:val="0"/>
        </w:rPr>
        <w:t>Constitue la source de données principale en l'absence de synchronisation bancaire automatique, sans dépendre d'un tiers.</w:t>
      </w:r>
    </w:p>
    <w:p>
      <w:pPr>
        <w:spacing w:before="80" w:after="20"/>
      </w:pPr>
      <w:r>
        <w:rPr>
          <w:b/>
          <w:color w:val="1F6F78"/>
          <w:sz w:val="21"/>
        </w:rPr>
        <w:t>Histoires utilisateur</w:t>
      </w:r>
    </w:p>
    <w:p>
      <w:pPr>
        <w:pStyle w:val="ListBullet"/>
        <w:spacing w:after="40"/>
      </w:pPr>
      <w:r>
        <w:t>En tant qu'utilisateur, je veux importer le relevé CSV de ma banque et voir mes transactions apparaître.</w:t>
      </w:r>
    </w:p>
    <w:p>
      <w:pPr>
        <w:pStyle w:val="ListBullet"/>
        <w:spacing w:after="40"/>
      </w:pPr>
      <w:r>
        <w:t>En tant qu'utilisateur, je veux éviter d'importer deux fois les mêmes opérations.</w:t>
      </w:r>
    </w:p>
    <w:p>
      <w:pPr>
        <w:spacing w:before="80" w:after="20"/>
      </w:pPr>
      <w:r>
        <w:rPr>
          <w:b/>
          <w:color w:val="1F6F78"/>
          <w:sz w:val="21"/>
        </w:rPr>
        <w:t>Règles de gestion</w:t>
      </w:r>
    </w:p>
    <w:p>
      <w:pPr>
        <w:pStyle w:val="ListBullet"/>
        <w:spacing w:after="40"/>
      </w:pPr>
      <w:r>
        <w:t>Le mappage des colonnes est configurable et mémorisable par banque.</w:t>
      </w:r>
    </w:p>
    <w:p>
      <w:pPr>
        <w:pStyle w:val="ListBullet"/>
        <w:spacing w:after="40"/>
      </w:pPr>
      <w:r>
        <w:t>La détection de doublons s'appuie sur date, montant et libellé normalisé.</w:t>
      </w:r>
    </w:p>
    <w:p>
      <w:pPr>
        <w:pStyle w:val="ListBullet"/>
        <w:spacing w:after="40"/>
      </w:pPr>
      <w:r>
        <w:t>Les montants sont stockés en centimes entiers ; aucune conversion en flottant.</w:t>
      </w:r>
    </w:p>
    <w:p>
      <w:pPr>
        <w:spacing w:before="80" w:after="20"/>
      </w:pPr>
      <w:r>
        <w:rPr>
          <w:b/>
          <w:color w:val="1F6F78"/>
          <w:sz w:val="21"/>
        </w:rPr>
        <w:t>Données &amp; calculs</w:t>
      </w:r>
    </w:p>
    <w:p>
      <w:pPr>
        <w:spacing w:after="120"/>
      </w:pPr>
      <w:r>
        <w:rPr>
          <w:i w:val="0"/>
        </w:rPr>
        <w:t>Fichier source (CSV/OFX) ; règles de mappage ; transactions créées.</w:t>
      </w:r>
    </w:p>
    <w:p>
      <w:pPr>
        <w:spacing w:before="80" w:after="20"/>
      </w:pPr>
      <w:r>
        <w:rPr>
          <w:b/>
          <w:color w:val="1F6F78"/>
          <w:sz w:val="21"/>
        </w:rPr>
        <w:t>Critères d'acceptation</w:t>
      </w:r>
    </w:p>
    <w:p>
      <w:pPr>
        <w:pStyle w:val="ListBullet"/>
        <w:spacing w:after="40"/>
      </w:pPr>
      <w:r>
        <w:t>Un import CSV crée les transactions attendues, rattachées au bon compte.</w:t>
      </w:r>
    </w:p>
    <w:p>
      <w:pPr>
        <w:pStyle w:val="ListBullet"/>
        <w:spacing w:after="40"/>
      </w:pPr>
      <w:r>
        <w:t>Les doublons ne sont pas réimportés.</w:t>
      </w:r>
    </w:p>
    <w:p>
      <w:pPr>
        <w:spacing w:after="160"/>
      </w:pPr>
    </w:p>
    <w:p>
      <w:pPr>
        <w:pStyle w:val="Heading3"/>
      </w:pPr>
      <w:r>
        <w:t>EF-022 — Catégorisation automatique (IA) et apprentissage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M — Must (indispensable)</w:t>
            </w:r>
          </w:p>
        </w:tc>
        <w:tc>
          <w:tcPr>
            <w:tcW w:type="dxa" w:w="1361"/>
            <w:tcMar>
              <w:top w:w="60" w:type="dxa"/>
              <w:bottom w:w="60" w:type="dxa"/>
              <w:start w:w="100" w:type="dxa"/>
              <w:end w:w="100" w:type="dxa"/>
            </w:tcMar>
          </w:tcPr>
          <w:p>
            <w:r/>
            <w:r>
              <w:rPr>
                <w:rFonts w:ascii="Calibri" w:hAnsi="Calibri"/>
                <w:b w:val="0"/>
                <w:sz w:val="19"/>
              </w:rPr>
              <w:t>P3</w:t>
            </w:r>
          </w:p>
        </w:tc>
        <w:tc>
          <w:tcPr>
            <w:tcW w:type="dxa" w:w="2608"/>
            <w:tcMar>
              <w:top w:w="60" w:type="dxa"/>
              <w:bottom w:w="60" w:type="dxa"/>
              <w:start w:w="100" w:type="dxa"/>
              <w:end w:w="100" w:type="dxa"/>
            </w:tcMar>
          </w:tcPr>
          <w:p>
            <w:r/>
            <w:r>
              <w:rPr>
                <w:rFonts w:ascii="Calibri" w:hAnsi="Calibri"/>
                <w:b w:val="0"/>
                <w:sz w:val="19"/>
              </w:rPr>
              <w:t>Flux</w:t>
            </w:r>
          </w:p>
        </w:tc>
        <w:tc>
          <w:tcPr>
            <w:tcW w:type="dxa" w:w="2268"/>
            <w:tcMar>
              <w:top w:w="60" w:type="dxa"/>
              <w:bottom w:w="60" w:type="dxa"/>
              <w:start w:w="100" w:type="dxa"/>
              <w:end w:w="100" w:type="dxa"/>
            </w:tcMar>
          </w:tcPr>
          <w:p>
            <w:r/>
            <w:r>
              <w:rPr>
                <w:rFonts w:ascii="Calibri" w:hAnsi="Calibri"/>
                <w:b w:val="0"/>
                <w:sz w:val="19"/>
              </w:rPr>
              <w:t>N1</w:t>
            </w:r>
          </w:p>
        </w:tc>
      </w:tr>
    </w:tbl>
    <w:p>
      <w:pPr>
        <w:spacing w:after="120"/>
      </w:pPr>
    </w:p>
    <w:p>
      <w:pPr>
        <w:spacing w:before="80" w:after="20"/>
      </w:pPr>
      <w:r>
        <w:rPr>
          <w:b/>
          <w:color w:val="1F6F78"/>
          <w:sz w:val="21"/>
        </w:rPr>
        <w:t>Description</w:t>
      </w:r>
    </w:p>
    <w:p>
      <w:pPr>
        <w:spacing w:after="120"/>
      </w:pPr>
      <w:r>
        <w:rPr>
          <w:i w:val="0"/>
        </w:rPr>
        <w:t>À l'import ou à la saisie, l'IA locale propose automatiquement une catégorie pour chaque transaction à partir du libellé et du contexte. L'utilisateur peut corriger ; l'app apprend de la correction et applique la règle aux transactions similaires futures (et propose de re-catégoriser les passées). Cette tâche s'exécute en priorité sur l'iPhone (niveau 1), donnée sensible restant locale.</w:t>
      </w:r>
    </w:p>
    <w:p>
      <w:pPr>
        <w:spacing w:before="80" w:after="20"/>
      </w:pPr>
      <w:r>
        <w:rPr>
          <w:b/>
          <w:color w:val="1F6F78"/>
          <w:sz w:val="21"/>
        </w:rPr>
        <w:t>Valeur métier</w:t>
      </w:r>
    </w:p>
    <w:p>
      <w:pPr>
        <w:spacing w:after="120"/>
      </w:pPr>
      <w:r>
        <w:rPr>
          <w:i w:val="0"/>
        </w:rPr>
        <w:t>Réduit drastiquement la saisie manuelle tout en s'améliorant avec l'usage, sans exposer les libellés bancaires au cloud.</w:t>
      </w:r>
    </w:p>
    <w:p>
      <w:pPr>
        <w:spacing w:before="80" w:after="20"/>
      </w:pPr>
      <w:r>
        <w:rPr>
          <w:b/>
          <w:color w:val="1F6F78"/>
          <w:sz w:val="21"/>
        </w:rPr>
        <w:t>Histoires utilisateur</w:t>
      </w:r>
    </w:p>
    <w:p>
      <w:pPr>
        <w:pStyle w:val="ListBullet"/>
        <w:spacing w:after="40"/>
      </w:pPr>
      <w:r>
        <w:t>En tant qu'utilisateur, je veux que mes transactions soient classées automatiquement.</w:t>
      </w:r>
    </w:p>
    <w:p>
      <w:pPr>
        <w:pStyle w:val="ListBullet"/>
        <w:spacing w:after="40"/>
      </w:pPr>
      <w:r>
        <w:t>En tant qu'utilisateur, je veux corriger une catégorie une fois et que l'app retienne la leçon.</w:t>
      </w:r>
    </w:p>
    <w:p>
      <w:pPr>
        <w:spacing w:before="80" w:after="20"/>
      </w:pPr>
      <w:r>
        <w:rPr>
          <w:b/>
          <w:color w:val="1F6F78"/>
          <w:sz w:val="21"/>
        </w:rPr>
        <w:t>Règles de gestion</w:t>
      </w:r>
    </w:p>
    <w:p>
      <w:pPr>
        <w:pStyle w:val="ListBullet"/>
        <w:spacing w:after="40"/>
      </w:pPr>
      <w:r>
        <w:t>La catégorisation initiale s'exécute en local (niveau 1, donnée N1).</w:t>
      </w:r>
    </w:p>
    <w:p>
      <w:pPr>
        <w:pStyle w:val="ListBullet"/>
        <w:spacing w:after="40"/>
      </w:pPr>
      <w:r>
        <w:t>Une correction crée/renforce une règle d'apprentissage par motif de libellé.</w:t>
      </w:r>
    </w:p>
    <w:p>
      <w:pPr>
        <w:pStyle w:val="ListBullet"/>
        <w:spacing w:after="40"/>
      </w:pPr>
      <w:r>
        <w:t>L'app propose d'appliquer la nouvelle règle à l'historique similaire.</w:t>
      </w:r>
    </w:p>
    <w:p>
      <w:pPr>
        <w:spacing w:before="80" w:after="20"/>
      </w:pPr>
      <w:r>
        <w:rPr>
          <w:b/>
          <w:color w:val="1F6F78"/>
          <w:sz w:val="21"/>
        </w:rPr>
        <w:t>Données &amp; calculs</w:t>
      </w:r>
    </w:p>
    <w:p>
      <w:pPr>
        <w:spacing w:after="120"/>
      </w:pPr>
      <w:r>
        <w:rPr>
          <w:i w:val="0"/>
        </w:rPr>
        <w:t>Transaction (libellé, catégorie) ; règles d'apprentissage (motif → catégorie).</w:t>
      </w:r>
    </w:p>
    <w:p>
      <w:pPr>
        <w:spacing w:before="80" w:after="20"/>
      </w:pPr>
      <w:r>
        <w:rPr>
          <w:b/>
          <w:color w:val="1F6F78"/>
          <w:sz w:val="21"/>
        </w:rPr>
        <w:t>Critères d'acceptation</w:t>
      </w:r>
    </w:p>
    <w:p>
      <w:pPr>
        <w:pStyle w:val="ListBullet"/>
        <w:spacing w:after="40"/>
      </w:pPr>
      <w:r>
        <w:t>Une transaction importée reçoit une catégorie proposée.</w:t>
      </w:r>
    </w:p>
    <w:p>
      <w:pPr>
        <w:pStyle w:val="ListBullet"/>
        <w:spacing w:after="40"/>
      </w:pPr>
      <w:r>
        <w:t>Après correction, les transactions similaires suivantes sont correctement classées.</w:t>
      </w:r>
    </w:p>
    <w:p>
      <w:pPr>
        <w:spacing w:after="160"/>
      </w:pPr>
    </w:p>
    <w:p>
      <w:pPr>
        <w:pStyle w:val="Heading3"/>
      </w:pPr>
      <w:r>
        <w:t>EF-023 — Nettoyage des libellés bancaires (IA)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S — Should (important)</w:t>
            </w:r>
          </w:p>
        </w:tc>
        <w:tc>
          <w:tcPr>
            <w:tcW w:type="dxa" w:w="1361"/>
            <w:tcMar>
              <w:top w:w="60" w:type="dxa"/>
              <w:bottom w:w="60" w:type="dxa"/>
              <w:start w:w="100" w:type="dxa"/>
              <w:end w:w="100" w:type="dxa"/>
            </w:tcMar>
          </w:tcPr>
          <w:p>
            <w:r/>
            <w:r>
              <w:rPr>
                <w:rFonts w:ascii="Calibri" w:hAnsi="Calibri"/>
                <w:b w:val="0"/>
                <w:sz w:val="19"/>
              </w:rPr>
              <w:t>P3</w:t>
            </w:r>
          </w:p>
        </w:tc>
        <w:tc>
          <w:tcPr>
            <w:tcW w:type="dxa" w:w="2608"/>
            <w:tcMar>
              <w:top w:w="60" w:type="dxa"/>
              <w:bottom w:w="60" w:type="dxa"/>
              <w:start w:w="100" w:type="dxa"/>
              <w:end w:w="100" w:type="dxa"/>
            </w:tcMar>
          </w:tcPr>
          <w:p>
            <w:r/>
            <w:r>
              <w:rPr>
                <w:rFonts w:ascii="Calibri" w:hAnsi="Calibri"/>
                <w:b w:val="0"/>
                <w:sz w:val="19"/>
              </w:rPr>
              <w:t>Flux</w:t>
            </w:r>
          </w:p>
        </w:tc>
        <w:tc>
          <w:tcPr>
            <w:tcW w:type="dxa" w:w="2268"/>
            <w:tcMar>
              <w:top w:w="60" w:type="dxa"/>
              <w:bottom w:w="60" w:type="dxa"/>
              <w:start w:w="100" w:type="dxa"/>
              <w:end w:w="100" w:type="dxa"/>
            </w:tcMar>
          </w:tcPr>
          <w:p>
            <w:r/>
            <w:r>
              <w:rPr>
                <w:rFonts w:ascii="Calibri" w:hAnsi="Calibri"/>
                <w:b w:val="0"/>
                <w:sz w:val="19"/>
              </w:rPr>
              <w:t>N1</w:t>
            </w:r>
          </w:p>
        </w:tc>
      </w:tr>
    </w:tbl>
    <w:p>
      <w:pPr>
        <w:spacing w:after="120"/>
      </w:pPr>
    </w:p>
    <w:p>
      <w:pPr>
        <w:spacing w:before="80" w:after="20"/>
      </w:pPr>
      <w:r>
        <w:rPr>
          <w:b/>
          <w:color w:val="1F6F78"/>
          <w:sz w:val="21"/>
        </w:rPr>
        <w:t>Description</w:t>
      </w:r>
    </w:p>
    <w:p>
      <w:pPr>
        <w:spacing w:after="120"/>
      </w:pPr>
      <w:r>
        <w:rPr>
          <w:i w:val="0"/>
        </w:rPr>
        <w:t>Les libellés bruts des banques (codes, numéros, mentions techniques) sont nettoyés par l'IA locale en libellés lisibles (par exemple « CB FNAC PARIS 75 » devient « Fnac »). Le libellé d'origine est conservé pour audit. Le traitement reste local (donnée N1).</w:t>
      </w:r>
    </w:p>
    <w:p>
      <w:pPr>
        <w:spacing w:before="80" w:after="20"/>
      </w:pPr>
      <w:r>
        <w:rPr>
          <w:b/>
          <w:color w:val="1F6F78"/>
          <w:sz w:val="21"/>
        </w:rPr>
        <w:t>Valeur métier</w:t>
      </w:r>
    </w:p>
    <w:p>
      <w:pPr>
        <w:spacing w:after="120"/>
      </w:pPr>
      <w:r>
        <w:rPr>
          <w:i w:val="0"/>
        </w:rPr>
        <w:t>Améliore nettement la lisibilité de l'historique sans jamais envoyer les libellés bruts hors de l'appareil.</w:t>
      </w:r>
    </w:p>
    <w:p>
      <w:pPr>
        <w:spacing w:before="80" w:after="20"/>
      </w:pPr>
      <w:r>
        <w:rPr>
          <w:b/>
          <w:color w:val="1F6F78"/>
          <w:sz w:val="21"/>
        </w:rPr>
        <w:t>Histoires utilisateur</w:t>
      </w:r>
    </w:p>
    <w:p>
      <w:pPr>
        <w:pStyle w:val="ListBullet"/>
        <w:spacing w:after="40"/>
      </w:pPr>
      <w:r>
        <w:t>En tant qu'utilisateur, je veux des libellés propres et compréhensibles plutôt que des codes bancaires.</w:t>
      </w:r>
    </w:p>
    <w:p>
      <w:pPr>
        <w:spacing w:before="80" w:after="20"/>
      </w:pPr>
      <w:r>
        <w:rPr>
          <w:b/>
          <w:color w:val="1F6F78"/>
          <w:sz w:val="21"/>
        </w:rPr>
        <w:t>Règles de gestion</w:t>
      </w:r>
    </w:p>
    <w:p>
      <w:pPr>
        <w:pStyle w:val="ListBullet"/>
        <w:spacing w:after="40"/>
      </w:pPr>
      <w:r>
        <w:t>Le libellé brut est conservé ; un libellé nettoyé est ajouté.</w:t>
      </w:r>
    </w:p>
    <w:p>
      <w:pPr>
        <w:pStyle w:val="ListBullet"/>
        <w:spacing w:after="40"/>
      </w:pPr>
      <w:r>
        <w:t>Le nettoyage s'exécute en local (niveau 1, donnée N1).</w:t>
      </w:r>
    </w:p>
    <w:p>
      <w:pPr>
        <w:pStyle w:val="ListBullet"/>
        <w:spacing w:after="40"/>
      </w:pPr>
      <w:r>
        <w:t>L'utilisateur peut éditer manuellement le libellé nettoyé.</w:t>
      </w:r>
    </w:p>
    <w:p>
      <w:pPr>
        <w:spacing w:before="80" w:after="20"/>
      </w:pPr>
      <w:r>
        <w:rPr>
          <w:b/>
          <w:color w:val="1F6F78"/>
          <w:sz w:val="21"/>
        </w:rPr>
        <w:t>Données &amp; calculs</w:t>
      </w:r>
    </w:p>
    <w:p>
      <w:pPr>
        <w:spacing w:after="120"/>
      </w:pPr>
      <w:r>
        <w:rPr>
          <w:i w:val="0"/>
        </w:rPr>
        <w:t>Transaction (libellé brut, libellé nettoyé).</w:t>
      </w:r>
    </w:p>
    <w:p>
      <w:pPr>
        <w:spacing w:before="80" w:after="20"/>
      </w:pPr>
      <w:r>
        <w:rPr>
          <w:b/>
          <w:color w:val="1F6F78"/>
          <w:sz w:val="21"/>
        </w:rPr>
        <w:t>Critères d'acceptation</w:t>
      </w:r>
    </w:p>
    <w:p>
      <w:pPr>
        <w:pStyle w:val="ListBullet"/>
        <w:spacing w:after="40"/>
      </w:pPr>
      <w:r>
        <w:t>Les libellés affichés sont lisibles ; le libellé d'origine reste accessible.</w:t>
      </w:r>
    </w:p>
    <w:p>
      <w:pPr>
        <w:spacing w:after="160"/>
      </w:pPr>
    </w:p>
    <w:p>
      <w:pPr>
        <w:pStyle w:val="Heading3"/>
      </w:pPr>
      <w:r>
        <w:t>EF-024 — Détail, édition et split multi-catégories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S — Should (important)</w:t>
            </w:r>
          </w:p>
        </w:tc>
        <w:tc>
          <w:tcPr>
            <w:tcW w:type="dxa" w:w="1361"/>
            <w:tcMar>
              <w:top w:w="60" w:type="dxa"/>
              <w:bottom w:w="60" w:type="dxa"/>
              <w:start w:w="100" w:type="dxa"/>
              <w:end w:w="100" w:type="dxa"/>
            </w:tcMar>
          </w:tcPr>
          <w:p>
            <w:r/>
            <w:r>
              <w:rPr>
                <w:rFonts w:ascii="Calibri" w:hAnsi="Calibri"/>
                <w:b w:val="0"/>
                <w:sz w:val="19"/>
              </w:rPr>
              <w:t>P3</w:t>
            </w:r>
          </w:p>
        </w:tc>
        <w:tc>
          <w:tcPr>
            <w:tcW w:type="dxa" w:w="2608"/>
            <w:tcMar>
              <w:top w:w="60" w:type="dxa"/>
              <w:bottom w:w="60" w:type="dxa"/>
              <w:start w:w="100" w:type="dxa"/>
              <w:end w:w="100" w:type="dxa"/>
            </w:tcMar>
          </w:tcPr>
          <w:p>
            <w:r/>
            <w:r>
              <w:rPr>
                <w:rFonts w:ascii="Calibri" w:hAnsi="Calibri"/>
                <w:b w:val="0"/>
                <w:sz w:val="19"/>
              </w:rPr>
              <w:t>Flux</w:t>
            </w:r>
          </w:p>
        </w:tc>
        <w:tc>
          <w:tcPr>
            <w:tcW w:type="dxa" w:w="2268"/>
            <w:tcMar>
              <w:top w:w="60" w:type="dxa"/>
              <w:bottom w:w="60" w:type="dxa"/>
              <w:start w:w="100" w:type="dxa"/>
              <w:end w:w="100" w:type="dxa"/>
            </w:tcMar>
          </w:tcPr>
          <w:p>
            <w:r/>
            <w:r>
              <w:rPr>
                <w:rFonts w:ascii="Calibri" w:hAnsi="Calibri"/>
                <w:b w:val="0"/>
                <w:sz w:val="19"/>
              </w:rPr>
              <w:t>N1</w:t>
            </w:r>
          </w:p>
        </w:tc>
      </w:tr>
    </w:tbl>
    <w:p>
      <w:pPr>
        <w:spacing w:after="120"/>
      </w:pPr>
    </w:p>
    <w:p>
      <w:pPr>
        <w:spacing w:before="80" w:after="20"/>
      </w:pPr>
      <w:r>
        <w:rPr>
          <w:b/>
          <w:color w:val="1F6F78"/>
          <w:sz w:val="21"/>
        </w:rPr>
        <w:t>Description</w:t>
      </w:r>
    </w:p>
    <w:p>
      <w:pPr>
        <w:spacing w:after="120"/>
      </w:pPr>
      <w:r>
        <w:rPr>
          <w:i w:val="0"/>
        </w:rPr>
        <w:t>Chaque transaction dispose d'une vue de détail permettant d'éditer ses attributs (libellé, catégorie, étiquettes, note) et de la diviser en plusieurs lignes (split) : par exemple un passage en caisse réparti entre « courses » et « électroménager ». La somme des splits égale toujours le montant total, au centime.</w:t>
      </w:r>
    </w:p>
    <w:p>
      <w:pPr>
        <w:spacing w:before="80" w:after="20"/>
      </w:pPr>
      <w:r>
        <w:rPr>
          <w:b/>
          <w:color w:val="1F6F78"/>
          <w:sz w:val="21"/>
        </w:rPr>
        <w:t>Valeur métier</w:t>
      </w:r>
    </w:p>
    <w:p>
      <w:pPr>
        <w:spacing w:after="120"/>
      </w:pPr>
      <w:r>
        <w:rPr>
          <w:i w:val="0"/>
        </w:rPr>
        <w:t>Permet une catégorisation fidèle à la réalité des dépenses mixtes.</w:t>
      </w:r>
    </w:p>
    <w:p>
      <w:pPr>
        <w:spacing w:before="80" w:after="20"/>
      </w:pPr>
      <w:r>
        <w:rPr>
          <w:b/>
          <w:color w:val="1F6F78"/>
          <w:sz w:val="21"/>
        </w:rPr>
        <w:t>Histoires utilisateur</w:t>
      </w:r>
    </w:p>
    <w:p>
      <w:pPr>
        <w:pStyle w:val="ListBullet"/>
        <w:spacing w:after="40"/>
      </w:pPr>
      <w:r>
        <w:t>En tant qu'utilisateur, je veux répartir un achat entre plusieurs catégories.</w:t>
      </w:r>
    </w:p>
    <w:p>
      <w:pPr>
        <w:pStyle w:val="ListBullet"/>
        <w:spacing w:after="40"/>
      </w:pPr>
      <w:r>
        <w:t>En tant qu'utilisateur, je veux corriger les détails d'une transaction.</w:t>
      </w:r>
    </w:p>
    <w:p>
      <w:pPr>
        <w:spacing w:before="80" w:after="20"/>
      </w:pPr>
      <w:r>
        <w:rPr>
          <w:b/>
          <w:color w:val="1F6F78"/>
          <w:sz w:val="21"/>
        </w:rPr>
        <w:t>Règles de gestion</w:t>
      </w:r>
    </w:p>
    <w:p>
      <w:pPr>
        <w:pStyle w:val="ListBullet"/>
        <w:spacing w:after="40"/>
      </w:pPr>
      <w:r>
        <w:t>La somme des splits est strictement égale au montant total (contrôle au centime).</w:t>
      </w:r>
    </w:p>
    <w:p>
      <w:pPr>
        <w:pStyle w:val="ListBullet"/>
        <w:spacing w:after="40"/>
      </w:pPr>
      <w:r>
        <w:t>Chaque split porte sa propre catégorie et éventuelles étiquettes.</w:t>
      </w:r>
    </w:p>
    <w:p>
      <w:pPr>
        <w:pStyle w:val="ListBullet"/>
        <w:spacing w:after="40"/>
      </w:pPr>
      <w:r>
        <w:t>L'édition est tracée (horodatage de modification).</w:t>
      </w:r>
    </w:p>
    <w:p>
      <w:pPr>
        <w:spacing w:before="80" w:after="20"/>
      </w:pPr>
      <w:r>
        <w:rPr>
          <w:b/>
          <w:color w:val="1F6F78"/>
          <w:sz w:val="21"/>
        </w:rPr>
        <w:t>Données &amp; calculs</w:t>
      </w:r>
    </w:p>
    <w:p>
      <w:pPr>
        <w:spacing w:after="120"/>
      </w:pPr>
      <w:r>
        <w:rPr>
          <w:i w:val="0"/>
        </w:rPr>
        <w:t>Transaction ; lignes de Split (montant en centimes, catégorie).</w:t>
      </w:r>
    </w:p>
    <w:p>
      <w:pPr>
        <w:spacing w:before="80" w:after="20"/>
      </w:pPr>
      <w:r>
        <w:rPr>
          <w:b/>
          <w:color w:val="1F6F78"/>
          <w:sz w:val="21"/>
        </w:rPr>
        <w:t>Critères d'acceptation</w:t>
      </w:r>
    </w:p>
    <w:p>
      <w:pPr>
        <w:pStyle w:val="ListBullet"/>
        <w:spacing w:after="40"/>
      </w:pPr>
      <w:r>
        <w:t>La somme des splits égale le montant total.</w:t>
      </w:r>
    </w:p>
    <w:p>
      <w:pPr>
        <w:pStyle w:val="ListBullet"/>
        <w:spacing w:after="40"/>
      </w:pPr>
      <w:r>
        <w:t>Les modifications sont persistées et reflétées dans les analyses.</w:t>
      </w:r>
    </w:p>
    <w:p>
      <w:pPr>
        <w:spacing w:after="160"/>
      </w:pPr>
    </w:p>
    <w:p>
      <w:pPr>
        <w:pStyle w:val="Heading3"/>
      </w:pPr>
      <w:r>
        <w:t>EF-025 — Calendrier financier (flux futurs datés)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S — Should (important)</w:t>
            </w:r>
          </w:p>
        </w:tc>
        <w:tc>
          <w:tcPr>
            <w:tcW w:type="dxa" w:w="1361"/>
            <w:tcMar>
              <w:top w:w="60" w:type="dxa"/>
              <w:bottom w:w="60" w:type="dxa"/>
              <w:start w:w="100" w:type="dxa"/>
              <w:end w:w="100" w:type="dxa"/>
            </w:tcMar>
          </w:tcPr>
          <w:p>
            <w:r/>
            <w:r>
              <w:rPr>
                <w:rFonts w:ascii="Calibri" w:hAnsi="Calibri"/>
                <w:b w:val="0"/>
                <w:sz w:val="19"/>
              </w:rPr>
              <w:t>P3</w:t>
            </w:r>
          </w:p>
        </w:tc>
        <w:tc>
          <w:tcPr>
            <w:tcW w:type="dxa" w:w="2608"/>
            <w:tcMar>
              <w:top w:w="60" w:type="dxa"/>
              <w:bottom w:w="60" w:type="dxa"/>
              <w:start w:w="100" w:type="dxa"/>
              <w:end w:w="100" w:type="dxa"/>
            </w:tcMar>
          </w:tcPr>
          <w:p>
            <w:r/>
            <w:r>
              <w:rPr>
                <w:rFonts w:ascii="Calibri" w:hAnsi="Calibri"/>
                <w:b w:val="0"/>
                <w:sz w:val="19"/>
              </w:rPr>
              <w:t>Flux</w:t>
            </w:r>
          </w:p>
        </w:tc>
        <w:tc>
          <w:tcPr>
            <w:tcW w:type="dxa" w:w="2268"/>
            <w:tcMar>
              <w:top w:w="60" w:type="dxa"/>
              <w:bottom w:w="60" w:type="dxa"/>
              <w:start w:w="100" w:type="dxa"/>
              <w:end w:w="100" w:type="dxa"/>
            </w:tcMar>
          </w:tcPr>
          <w:p>
            <w:r/>
            <w:r>
              <w:rPr>
                <w:rFonts w:ascii="Calibri" w:hAnsi="Calibri"/>
                <w:b w:val="0"/>
                <w:sz w:val="19"/>
              </w:rPr>
              <w:t>N1</w:t>
            </w:r>
          </w:p>
        </w:tc>
      </w:tr>
    </w:tbl>
    <w:p>
      <w:pPr>
        <w:spacing w:after="120"/>
      </w:pPr>
    </w:p>
    <w:p>
      <w:pPr>
        <w:spacing w:before="80" w:after="20"/>
      </w:pPr>
      <w:r>
        <w:rPr>
          <w:b/>
          <w:color w:val="1F6F78"/>
          <w:sz w:val="21"/>
        </w:rPr>
        <w:t>Description</w:t>
      </w:r>
    </w:p>
    <w:p>
      <w:pPr>
        <w:spacing w:after="120"/>
      </w:pPr>
      <w:r>
        <w:rPr>
          <w:i w:val="0"/>
        </w:rPr>
        <w:t>Un calendrier présente les flux futurs datés : salaires, échéances de crédit, abonnements, impôts, loyers. Il offre une vue mensuelle et une vue liste, et sert de base au calcul du cashflow futur. Les flux récurrents alimentent automatiquement le calendrier.</w:t>
      </w:r>
    </w:p>
    <w:p>
      <w:pPr>
        <w:spacing w:before="80" w:after="20"/>
      </w:pPr>
      <w:r>
        <w:rPr>
          <w:b/>
          <w:color w:val="1F6F78"/>
          <w:sz w:val="21"/>
        </w:rPr>
        <w:t>Valeur métier</w:t>
      </w:r>
    </w:p>
    <w:p>
      <w:pPr>
        <w:spacing w:after="120"/>
      </w:pPr>
      <w:r>
        <w:rPr>
          <w:i w:val="0"/>
        </w:rPr>
        <w:t>Anticipe les entrées et sorties à venir et prévient les mauvaises surprises de trésorerie.</w:t>
      </w:r>
    </w:p>
    <w:p>
      <w:pPr>
        <w:spacing w:before="80" w:after="20"/>
      </w:pPr>
      <w:r>
        <w:rPr>
          <w:b/>
          <w:color w:val="1F6F78"/>
          <w:sz w:val="21"/>
        </w:rPr>
        <w:t>Histoires utilisateur</w:t>
      </w:r>
    </w:p>
    <w:p>
      <w:pPr>
        <w:pStyle w:val="ListBullet"/>
        <w:spacing w:after="40"/>
      </w:pPr>
      <w:r>
        <w:t>En tant qu'utilisateur, je veux voir ce qui va être prélevé et reçu dans les prochaines semaines.</w:t>
      </w:r>
    </w:p>
    <w:p>
      <w:pPr>
        <w:spacing w:before="80" w:after="20"/>
      </w:pPr>
      <w:r>
        <w:rPr>
          <w:b/>
          <w:color w:val="1F6F78"/>
          <w:sz w:val="21"/>
        </w:rPr>
        <w:t>Règles de gestion</w:t>
      </w:r>
    </w:p>
    <w:p>
      <w:pPr>
        <w:pStyle w:val="ListBullet"/>
        <w:spacing w:after="40"/>
      </w:pPr>
      <w:r>
        <w:t>Les flux récurrents (revenus, crédits, abonnements) sont projetés sur le calendrier.</w:t>
      </w:r>
    </w:p>
    <w:p>
      <w:pPr>
        <w:pStyle w:val="ListBullet"/>
        <w:spacing w:after="40"/>
      </w:pPr>
      <w:r>
        <w:t>Chaque flux futur porte une date, un montant et une nature.</w:t>
      </w:r>
    </w:p>
    <w:p>
      <w:pPr>
        <w:pStyle w:val="ListBullet"/>
        <w:spacing w:after="40"/>
      </w:pPr>
      <w:r>
        <w:t>Le calendrier alimente le calcul du cashflow futur (EF-027).</w:t>
      </w:r>
    </w:p>
    <w:p>
      <w:pPr>
        <w:spacing w:before="80" w:after="20"/>
      </w:pPr>
      <w:r>
        <w:rPr>
          <w:b/>
          <w:color w:val="1F6F78"/>
          <w:sz w:val="21"/>
        </w:rPr>
        <w:t>Données &amp; calculs</w:t>
      </w:r>
    </w:p>
    <w:p>
      <w:pPr>
        <w:spacing w:after="120"/>
      </w:pPr>
      <w:r>
        <w:rPr>
          <w:i w:val="0"/>
        </w:rPr>
        <w:t>Règles récurrentes (RecurringRule) ; flux datés projetés.</w:t>
      </w:r>
    </w:p>
    <w:p>
      <w:pPr>
        <w:spacing w:before="80" w:after="20"/>
      </w:pPr>
      <w:r>
        <w:rPr>
          <w:b/>
          <w:color w:val="1F6F78"/>
          <w:sz w:val="21"/>
        </w:rPr>
        <w:t>Critères d'acceptation</w:t>
      </w:r>
    </w:p>
    <w:p>
      <w:pPr>
        <w:pStyle w:val="ListBullet"/>
        <w:spacing w:after="40"/>
      </w:pPr>
      <w:r>
        <w:t>Les flux futurs récurrents apparaissent aux bonnes dates.</w:t>
      </w:r>
    </w:p>
    <w:p>
      <w:pPr>
        <w:pStyle w:val="ListBullet"/>
        <w:spacing w:after="40"/>
      </w:pPr>
      <w:r>
        <w:t>Le calendrier reste cohérent avec le cashflow futur.</w:t>
      </w:r>
    </w:p>
    <w:p>
      <w:pPr>
        <w:spacing w:after="160"/>
      </w:pPr>
    </w:p>
    <w:p>
      <w:pPr>
        <w:pStyle w:val="Heading3"/>
      </w:pPr>
      <w:r>
        <w:t>EF-026 — Détection d'abonnements récurrents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S — Should (important)</w:t>
            </w:r>
          </w:p>
        </w:tc>
        <w:tc>
          <w:tcPr>
            <w:tcW w:type="dxa" w:w="1361"/>
            <w:tcMar>
              <w:top w:w="60" w:type="dxa"/>
              <w:bottom w:w="60" w:type="dxa"/>
              <w:start w:w="100" w:type="dxa"/>
              <w:end w:w="100" w:type="dxa"/>
            </w:tcMar>
          </w:tcPr>
          <w:p>
            <w:r/>
            <w:r>
              <w:rPr>
                <w:rFonts w:ascii="Calibri" w:hAnsi="Calibri"/>
                <w:b w:val="0"/>
                <w:sz w:val="19"/>
              </w:rPr>
              <w:t>P3</w:t>
            </w:r>
          </w:p>
        </w:tc>
        <w:tc>
          <w:tcPr>
            <w:tcW w:type="dxa" w:w="2608"/>
            <w:tcMar>
              <w:top w:w="60" w:type="dxa"/>
              <w:bottom w:w="60" w:type="dxa"/>
              <w:start w:w="100" w:type="dxa"/>
              <w:end w:w="100" w:type="dxa"/>
            </w:tcMar>
          </w:tcPr>
          <w:p>
            <w:r/>
            <w:r>
              <w:rPr>
                <w:rFonts w:ascii="Calibri" w:hAnsi="Calibri"/>
                <w:b w:val="0"/>
                <w:sz w:val="19"/>
              </w:rPr>
              <w:t>Flux</w:t>
            </w:r>
          </w:p>
        </w:tc>
        <w:tc>
          <w:tcPr>
            <w:tcW w:type="dxa" w:w="2268"/>
            <w:tcMar>
              <w:top w:w="60" w:type="dxa"/>
              <w:bottom w:w="60" w:type="dxa"/>
              <w:start w:w="100" w:type="dxa"/>
              <w:end w:w="100" w:type="dxa"/>
            </w:tcMar>
          </w:tcPr>
          <w:p>
            <w:r/>
            <w:r>
              <w:rPr>
                <w:rFonts w:ascii="Calibri" w:hAnsi="Calibri"/>
                <w:b w:val="0"/>
                <w:sz w:val="19"/>
              </w:rPr>
              <w:t>N1</w:t>
            </w:r>
          </w:p>
        </w:tc>
      </w:tr>
    </w:tbl>
    <w:p>
      <w:pPr>
        <w:spacing w:after="120"/>
      </w:pPr>
    </w:p>
    <w:p>
      <w:pPr>
        <w:spacing w:before="80" w:after="20"/>
      </w:pPr>
      <w:r>
        <w:rPr>
          <w:b/>
          <w:color w:val="1F6F78"/>
          <w:sz w:val="21"/>
        </w:rPr>
        <w:t>Description</w:t>
      </w:r>
    </w:p>
    <w:p>
      <w:pPr>
        <w:spacing w:after="120"/>
      </w:pPr>
      <w:r>
        <w:rPr>
          <w:i w:val="0"/>
        </w:rPr>
        <w:t>L'app détecte automatiquement les abonnements et prélèvements récurrents en analysant la régularité des transactions (montant et périodicité stables). Elle propose de les transformer en règles récurrentes, signale les hausses de tarif et les abonnements potentiellement oubliés.</w:t>
      </w:r>
    </w:p>
    <w:p>
      <w:pPr>
        <w:spacing w:before="80" w:after="20"/>
      </w:pPr>
      <w:r>
        <w:rPr>
          <w:b/>
          <w:color w:val="1F6F78"/>
          <w:sz w:val="21"/>
        </w:rPr>
        <w:t>Valeur métier</w:t>
      </w:r>
    </w:p>
    <w:p>
      <w:pPr>
        <w:spacing w:after="120"/>
      </w:pPr>
      <w:r>
        <w:rPr>
          <w:i w:val="0"/>
        </w:rPr>
        <w:t>Aide à reprendre le contrôle des dépenses récurrentes, souvent invisibles et cumulativement coûteuses.</w:t>
      </w:r>
    </w:p>
    <w:p>
      <w:pPr>
        <w:spacing w:before="80" w:after="20"/>
      </w:pPr>
      <w:r>
        <w:rPr>
          <w:b/>
          <w:color w:val="1F6F78"/>
          <w:sz w:val="21"/>
        </w:rPr>
        <w:t>Histoires utilisateur</w:t>
      </w:r>
    </w:p>
    <w:p>
      <w:pPr>
        <w:pStyle w:val="ListBullet"/>
        <w:spacing w:after="40"/>
      </w:pPr>
      <w:r>
        <w:t>En tant qu'utilisateur, je veux repérer tous mes abonnements en un endroit.</w:t>
      </w:r>
    </w:p>
    <w:p>
      <w:pPr>
        <w:pStyle w:val="ListBullet"/>
        <w:spacing w:after="40"/>
      </w:pPr>
      <w:r>
        <w:t>En tant qu'utilisateur, je veux être alerté si un abonnement augmente.</w:t>
      </w:r>
    </w:p>
    <w:p>
      <w:pPr>
        <w:spacing w:before="80" w:after="20"/>
      </w:pPr>
      <w:r>
        <w:rPr>
          <w:b/>
          <w:color w:val="1F6F78"/>
          <w:sz w:val="21"/>
        </w:rPr>
        <w:t>Règles de gestion</w:t>
      </w:r>
    </w:p>
    <w:p>
      <w:pPr>
        <w:pStyle w:val="ListBullet"/>
        <w:spacing w:after="40"/>
      </w:pPr>
      <w:r>
        <w:t>La détection s'appuie sur la récurrence de montant et de périodicité.</w:t>
      </w:r>
    </w:p>
    <w:p>
      <w:pPr>
        <w:pStyle w:val="ListBullet"/>
        <w:spacing w:after="40"/>
      </w:pPr>
      <w:r>
        <w:t>Une hausse de montant d'un abonnement connu est signalée.</w:t>
      </w:r>
    </w:p>
    <w:p>
      <w:pPr>
        <w:pStyle w:val="ListBullet"/>
        <w:spacing w:after="40"/>
      </w:pPr>
      <w:r>
        <w:t>L'utilisateur peut confirmer, ignorer ou transformer en règle récurrente.</w:t>
      </w:r>
    </w:p>
    <w:p>
      <w:pPr>
        <w:spacing w:before="80" w:after="20"/>
      </w:pPr>
      <w:r>
        <w:rPr>
          <w:b/>
          <w:color w:val="1F6F78"/>
          <w:sz w:val="21"/>
        </w:rPr>
        <w:t>Données &amp; calculs</w:t>
      </w:r>
    </w:p>
    <w:p>
      <w:pPr>
        <w:spacing w:after="120"/>
      </w:pPr>
      <w:r>
        <w:rPr>
          <w:i w:val="0"/>
        </w:rPr>
        <w:t>Transactions ; règles récurrentes déduites (RecurringRule).</w:t>
      </w:r>
    </w:p>
    <w:p>
      <w:pPr>
        <w:spacing w:before="80" w:after="20"/>
      </w:pPr>
      <w:r>
        <w:rPr>
          <w:b/>
          <w:color w:val="1F6F78"/>
          <w:sz w:val="21"/>
        </w:rPr>
        <w:t>Critères d'acceptation</w:t>
      </w:r>
    </w:p>
    <w:p>
      <w:pPr>
        <w:pStyle w:val="ListBullet"/>
        <w:spacing w:after="40"/>
      </w:pPr>
      <w:r>
        <w:t>Les abonnements réguliers sont détectés et regroupés.</w:t>
      </w:r>
    </w:p>
    <w:p>
      <w:pPr>
        <w:pStyle w:val="ListBullet"/>
        <w:spacing w:after="40"/>
      </w:pPr>
      <w:r>
        <w:t>Une augmentation tarifaire est correctement signalée.</w:t>
      </w:r>
    </w:p>
    <w:p>
      <w:pPr>
        <w:spacing w:after="160"/>
      </w:pPr>
    </w:p>
    <w:p>
      <w:pPr>
        <w:pStyle w:val="Heading3"/>
      </w:pPr>
      <w:r>
        <w:t>EF-027 — Cashflow futur (trésorerie projetée)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S — Should (important)</w:t>
            </w:r>
          </w:p>
        </w:tc>
        <w:tc>
          <w:tcPr>
            <w:tcW w:type="dxa" w:w="1361"/>
            <w:tcMar>
              <w:top w:w="60" w:type="dxa"/>
              <w:bottom w:w="60" w:type="dxa"/>
              <w:start w:w="100" w:type="dxa"/>
              <w:end w:w="100" w:type="dxa"/>
            </w:tcMar>
          </w:tcPr>
          <w:p>
            <w:r/>
            <w:r>
              <w:rPr>
                <w:rFonts w:ascii="Calibri" w:hAnsi="Calibri"/>
                <w:b w:val="0"/>
                <w:sz w:val="19"/>
              </w:rPr>
              <w:t>P3</w:t>
            </w:r>
          </w:p>
        </w:tc>
        <w:tc>
          <w:tcPr>
            <w:tcW w:type="dxa" w:w="2608"/>
            <w:tcMar>
              <w:top w:w="60" w:type="dxa"/>
              <w:bottom w:w="60" w:type="dxa"/>
              <w:start w:w="100" w:type="dxa"/>
              <w:end w:w="100" w:type="dxa"/>
            </w:tcMar>
          </w:tcPr>
          <w:p>
            <w:r/>
            <w:r>
              <w:rPr>
                <w:rFonts w:ascii="Calibri" w:hAnsi="Calibri"/>
                <w:b w:val="0"/>
                <w:sz w:val="19"/>
              </w:rPr>
              <w:t>Flux</w:t>
            </w:r>
          </w:p>
        </w:tc>
        <w:tc>
          <w:tcPr>
            <w:tcW w:type="dxa" w:w="2268"/>
            <w:tcMar>
              <w:top w:w="60" w:type="dxa"/>
              <w:bottom w:w="60" w:type="dxa"/>
              <w:start w:w="100" w:type="dxa"/>
              <w:end w:w="100" w:type="dxa"/>
            </w:tcMar>
          </w:tcPr>
          <w:p>
            <w:r/>
            <w:r>
              <w:rPr>
                <w:rFonts w:ascii="Calibri" w:hAnsi="Calibri"/>
                <w:b w:val="0"/>
                <w:sz w:val="19"/>
              </w:rPr>
              <w:t>N2</w:t>
            </w:r>
          </w:p>
        </w:tc>
      </w:tr>
    </w:tbl>
    <w:p>
      <w:pPr>
        <w:spacing w:after="120"/>
      </w:pPr>
    </w:p>
    <w:p>
      <w:pPr>
        <w:spacing w:before="80" w:after="20"/>
      </w:pPr>
      <w:r>
        <w:rPr>
          <w:b/>
          <w:color w:val="1F6F78"/>
          <w:sz w:val="21"/>
        </w:rPr>
        <w:t>Description</w:t>
      </w:r>
    </w:p>
    <w:p>
      <w:pPr>
        <w:spacing w:after="120"/>
      </w:pPr>
      <w:r>
        <w:rPr>
          <w:i w:val="0"/>
        </w:rPr>
        <w:t>L'app projette le cash disponible réel à une date future donnée, en intégrant le solde actuel, les revenus à venir, les échéances de crédit, les abonnements, les impôts et une estimation des dépenses moyennes et exceptionnelles. Le résultat répond à « combien me restera-t-il réellement au 30 du mois ? ». Le calcul est déterministe.</w:t>
      </w:r>
    </w:p>
    <w:p>
      <w:pPr>
        <w:spacing w:before="80" w:after="20"/>
      </w:pPr>
      <w:r>
        <w:rPr>
          <w:b/>
          <w:color w:val="1F6F78"/>
          <w:sz w:val="21"/>
        </w:rPr>
        <w:t>Valeur métier</w:t>
      </w:r>
    </w:p>
    <w:p>
      <w:pPr>
        <w:spacing w:after="120"/>
      </w:pPr>
      <w:r>
        <w:rPr>
          <w:i w:val="0"/>
        </w:rPr>
        <w:t>Transforme l'anticipation en certitude chiffrée et évite les fins de mois difficiles.</w:t>
      </w:r>
    </w:p>
    <w:p>
      <w:pPr>
        <w:spacing w:before="80" w:after="20"/>
      </w:pPr>
      <w:r>
        <w:rPr>
          <w:b/>
          <w:color w:val="1F6F78"/>
          <w:sz w:val="21"/>
        </w:rPr>
        <w:t>Histoires utilisateur</w:t>
      </w:r>
    </w:p>
    <w:p>
      <w:pPr>
        <w:pStyle w:val="ListBullet"/>
        <w:spacing w:after="40"/>
      </w:pPr>
      <w:r>
        <w:t>En tant qu'utilisateur, je veux savoir combien il me restera réellement à une date future donnée.</w:t>
      </w:r>
    </w:p>
    <w:p>
      <w:pPr>
        <w:spacing w:before="80" w:after="20"/>
      </w:pPr>
      <w:r>
        <w:rPr>
          <w:b/>
          <w:color w:val="1F6F78"/>
          <w:sz w:val="21"/>
        </w:rPr>
        <w:t>Règles de gestion</w:t>
      </w:r>
    </w:p>
    <w:p>
      <w:pPr>
        <w:pStyle w:val="ListBullet"/>
        <w:spacing w:after="40"/>
      </w:pPr>
      <w:r>
        <w:t>La projection agrège solde courant, flux récurrents et estimation de dépenses.</w:t>
      </w:r>
    </w:p>
    <w:p>
      <w:pPr>
        <w:pStyle w:val="ListBullet"/>
        <w:spacing w:after="40"/>
      </w:pPr>
      <w:r>
        <w:t>Le calcul est déterministe, en centimes ; l'IA peut commenter mais pas chiffrer.</w:t>
      </w:r>
    </w:p>
    <w:p>
      <w:pPr>
        <w:pStyle w:val="ListBullet"/>
        <w:spacing w:after="40"/>
      </w:pPr>
      <w:r>
        <w:t>La date cible est paramétrable.</w:t>
      </w:r>
    </w:p>
    <w:p>
      <w:pPr>
        <w:spacing w:before="80" w:after="20"/>
      </w:pPr>
      <w:r>
        <w:rPr>
          <w:b/>
          <w:color w:val="1F6F78"/>
          <w:sz w:val="21"/>
        </w:rPr>
        <w:t>Données &amp; calculs</w:t>
      </w:r>
    </w:p>
    <w:p>
      <w:pPr>
        <w:spacing w:after="120"/>
      </w:pPr>
      <w:r>
        <w:rPr>
          <w:i w:val="0"/>
        </w:rPr>
        <w:t>Soldes liquides ; règles récurrentes ; moyenne de dépenses ; date cible.</w:t>
      </w:r>
    </w:p>
    <w:p>
      <w:pPr>
        <w:spacing w:before="80" w:after="20"/>
      </w:pPr>
      <w:r>
        <w:rPr>
          <w:b/>
          <w:color w:val="1F6F78"/>
          <w:sz w:val="21"/>
        </w:rPr>
        <w:t>Critères d'acceptation</w:t>
      </w:r>
    </w:p>
    <w:p>
      <w:pPr>
        <w:pStyle w:val="ListBullet"/>
        <w:spacing w:after="40"/>
      </w:pPr>
      <w:r>
        <w:t>La trésorerie projetée à une date est cohérente avec les flux connus.</w:t>
      </w:r>
    </w:p>
    <w:p>
      <w:pPr>
        <w:pStyle w:val="ListBullet"/>
        <w:spacing w:after="40"/>
      </w:pPr>
      <w:r>
        <w:t>Le chiffre provient du moteur déterministe.</w:t>
      </w:r>
    </w:p>
    <w:p>
      <w:pPr>
        <w:spacing w:after="160"/>
      </w:pPr>
    </w:p>
    <w:p>
      <w:pPr>
        <w:pStyle w:val="Heading3"/>
      </w:pPr>
      <w:r>
        <w:t>EF-028 — Enveloppes budgétaires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S — Should (important)</w:t>
            </w:r>
          </w:p>
        </w:tc>
        <w:tc>
          <w:tcPr>
            <w:tcW w:type="dxa" w:w="1361"/>
            <w:tcMar>
              <w:top w:w="60" w:type="dxa"/>
              <w:bottom w:w="60" w:type="dxa"/>
              <w:start w:w="100" w:type="dxa"/>
              <w:end w:w="100" w:type="dxa"/>
            </w:tcMar>
          </w:tcPr>
          <w:p>
            <w:r/>
            <w:r>
              <w:rPr>
                <w:rFonts w:ascii="Calibri" w:hAnsi="Calibri"/>
                <w:b w:val="0"/>
                <w:sz w:val="19"/>
              </w:rPr>
              <w:t>P4</w:t>
            </w:r>
          </w:p>
        </w:tc>
        <w:tc>
          <w:tcPr>
            <w:tcW w:type="dxa" w:w="2608"/>
            <w:tcMar>
              <w:top w:w="60" w:type="dxa"/>
              <w:bottom w:w="60" w:type="dxa"/>
              <w:start w:w="100" w:type="dxa"/>
              <w:end w:w="100" w:type="dxa"/>
            </w:tcMar>
          </w:tcPr>
          <w:p>
            <w:r/>
            <w:r>
              <w:rPr>
                <w:rFonts w:ascii="Calibri" w:hAnsi="Calibri"/>
                <w:b w:val="0"/>
                <w:sz w:val="19"/>
              </w:rPr>
              <w:t>Flux</w:t>
            </w:r>
          </w:p>
        </w:tc>
        <w:tc>
          <w:tcPr>
            <w:tcW w:type="dxa" w:w="2268"/>
            <w:tcMar>
              <w:top w:w="60" w:type="dxa"/>
              <w:bottom w:w="60" w:type="dxa"/>
              <w:start w:w="100" w:type="dxa"/>
              <w:end w:w="100" w:type="dxa"/>
            </w:tcMar>
          </w:tcPr>
          <w:p>
            <w:r/>
            <w:r>
              <w:rPr>
                <w:rFonts w:ascii="Calibri" w:hAnsi="Calibri"/>
                <w:b w:val="0"/>
                <w:sz w:val="19"/>
              </w:rPr>
              <w:t>N1</w:t>
            </w:r>
          </w:p>
        </w:tc>
      </w:tr>
    </w:tbl>
    <w:p>
      <w:pPr>
        <w:spacing w:after="120"/>
      </w:pPr>
    </w:p>
    <w:p>
      <w:pPr>
        <w:spacing w:before="80" w:after="20"/>
      </w:pPr>
      <w:r>
        <w:rPr>
          <w:b/>
          <w:color w:val="1F6F78"/>
          <w:sz w:val="21"/>
        </w:rPr>
        <w:t>Description</w:t>
      </w:r>
    </w:p>
    <w:p>
      <w:pPr>
        <w:spacing w:after="120"/>
      </w:pPr>
      <w:r>
        <w:rPr>
          <w:i w:val="0"/>
        </w:rPr>
        <w:t>Optionnellement, l'utilisateur alloue à l'avance son argent dans des enveloppes (style YNAB) : alimentation, loisirs, transport, etc. Les dépenses consomment leur enveloppe ; l'app montre le restant à dépenser et alerte en cas de dépassement (voir EF-053). Les enveloppes sont une couche facultative qui n'impose rien à qui ne veut pas budgétiser.</w:t>
      </w:r>
    </w:p>
    <w:p>
      <w:pPr>
        <w:spacing w:before="80" w:after="20"/>
      </w:pPr>
      <w:r>
        <w:rPr>
          <w:b/>
          <w:color w:val="1F6F78"/>
          <w:sz w:val="21"/>
        </w:rPr>
        <w:t>Valeur métier</w:t>
      </w:r>
    </w:p>
    <w:p>
      <w:pPr>
        <w:spacing w:after="120"/>
      </w:pPr>
      <w:r>
        <w:rPr>
          <w:i w:val="0"/>
        </w:rPr>
        <w:t>Apporte un cadre de pilotage proactif du budget à ceux qui le souhaitent, sans alourdir l'usage de base.</w:t>
      </w:r>
    </w:p>
    <w:p>
      <w:pPr>
        <w:spacing w:before="80" w:after="20"/>
      </w:pPr>
      <w:r>
        <w:rPr>
          <w:b/>
          <w:color w:val="1F6F78"/>
          <w:sz w:val="21"/>
        </w:rPr>
        <w:t>Histoires utilisateur</w:t>
      </w:r>
    </w:p>
    <w:p>
      <w:pPr>
        <w:pStyle w:val="ListBullet"/>
        <w:spacing w:after="40"/>
      </w:pPr>
      <w:r>
        <w:t>En tant qu'utilisateur, je veux allouer un budget mensuel par catégorie et suivre ce qu'il me reste.</w:t>
      </w:r>
    </w:p>
    <w:p>
      <w:pPr>
        <w:spacing w:before="80" w:after="20"/>
      </w:pPr>
      <w:r>
        <w:rPr>
          <w:b/>
          <w:color w:val="1F6F78"/>
          <w:sz w:val="21"/>
        </w:rPr>
        <w:t>Règles de gestion</w:t>
      </w:r>
    </w:p>
    <w:p>
      <w:pPr>
        <w:pStyle w:val="ListBullet"/>
        <w:spacing w:after="40"/>
      </w:pPr>
      <w:r>
        <w:t>Chaque enveloppe a un montant alloué et un consommé calculé à partir des transactions.</w:t>
      </w:r>
    </w:p>
    <w:p>
      <w:pPr>
        <w:pStyle w:val="ListBullet"/>
        <w:spacing w:after="40"/>
      </w:pPr>
      <w:r>
        <w:t>Le restant à dépenser est mis à jour en temps réel.</w:t>
      </w:r>
    </w:p>
    <w:p>
      <w:pPr>
        <w:pStyle w:val="ListBullet"/>
        <w:spacing w:after="40"/>
      </w:pPr>
      <w:r>
        <w:t>Le module est entièrement optionnel.</w:t>
      </w:r>
    </w:p>
    <w:p>
      <w:pPr>
        <w:spacing w:before="80" w:after="20"/>
      </w:pPr>
      <w:r>
        <w:rPr>
          <w:b/>
          <w:color w:val="1F6F78"/>
          <w:sz w:val="21"/>
        </w:rPr>
        <w:t>Données &amp; calculs</w:t>
      </w:r>
    </w:p>
    <w:p>
      <w:pPr>
        <w:spacing w:after="120"/>
      </w:pPr>
      <w:r>
        <w:rPr>
          <w:i w:val="0"/>
        </w:rPr>
        <w:t>Entité Envelope (catégorie, montant alloué en centimes, période) ; lien aux transactions.</w:t>
      </w:r>
    </w:p>
    <w:p>
      <w:pPr>
        <w:spacing w:before="80" w:after="20"/>
      </w:pPr>
      <w:r>
        <w:rPr>
          <w:b/>
          <w:color w:val="1F6F78"/>
          <w:sz w:val="21"/>
        </w:rPr>
        <w:t>Critères d'acceptation</w:t>
      </w:r>
    </w:p>
    <w:p>
      <w:pPr>
        <w:pStyle w:val="ListBullet"/>
        <w:spacing w:after="40"/>
      </w:pPr>
      <w:r>
        <w:t>La consommation d'une enveloppe correspond aux dépenses catégorisées de la période.</w:t>
      </w:r>
    </w:p>
    <w:p>
      <w:pPr>
        <w:pStyle w:val="ListBullet"/>
        <w:spacing w:after="40"/>
      </w:pPr>
      <w:r>
        <w:t>Le dépassement déclenche l'alerte associée.</w:t>
      </w:r>
    </w:p>
    <w:p>
      <w:pPr>
        <w:spacing w:after="160"/>
      </w:pPr>
    </w:p>
    <w:p>
      <w:pPr>
        <w:pStyle w:val="Heading2"/>
      </w:pPr>
      <w:r>
        <w:t>7.4 Onglet Patrimoine</w:t>
      </w:r>
    </w:p>
    <w:p>
      <w:pPr>
        <w:spacing w:after="120"/>
      </w:pPr>
      <w:r>
        <w:rPr>
          <w:i/>
          <w:color w:val="5B6670"/>
        </w:rPr>
        <w:t>Les actifs et passifs comme entités de premier rang, leurs valorisations, et les centres spécialisés (immobilier, investissement, objets, entreprise).</w:t>
      </w:r>
    </w:p>
    <w:p>
      <w:pPr>
        <w:pStyle w:val="Heading3"/>
      </w:pPr>
      <w:r>
        <w:t>EF-030 — Saisie manuelle d'actifs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M — Must (indispensable)</w:t>
            </w:r>
          </w:p>
        </w:tc>
        <w:tc>
          <w:tcPr>
            <w:tcW w:type="dxa" w:w="1361"/>
            <w:tcMar>
              <w:top w:w="60" w:type="dxa"/>
              <w:bottom w:w="60" w:type="dxa"/>
              <w:start w:w="100" w:type="dxa"/>
              <w:end w:w="100" w:type="dxa"/>
            </w:tcMar>
          </w:tcPr>
          <w:p>
            <w:r/>
            <w:r>
              <w:rPr>
                <w:rFonts w:ascii="Calibri" w:hAnsi="Calibri"/>
                <w:b w:val="0"/>
                <w:sz w:val="19"/>
              </w:rPr>
              <w:t>P1</w:t>
            </w:r>
          </w:p>
        </w:tc>
        <w:tc>
          <w:tcPr>
            <w:tcW w:type="dxa" w:w="2608"/>
            <w:tcMar>
              <w:top w:w="60" w:type="dxa"/>
              <w:bottom w:w="60" w:type="dxa"/>
              <w:start w:w="100" w:type="dxa"/>
              <w:end w:w="100" w:type="dxa"/>
            </w:tcMar>
          </w:tcPr>
          <w:p>
            <w:r/>
            <w:r>
              <w:rPr>
                <w:rFonts w:ascii="Calibri" w:hAnsi="Calibri"/>
                <w:b w:val="0"/>
                <w:sz w:val="19"/>
              </w:rPr>
              <w:t>Patrimoine</w:t>
            </w:r>
          </w:p>
        </w:tc>
        <w:tc>
          <w:tcPr>
            <w:tcW w:type="dxa" w:w="2268"/>
            <w:tcMar>
              <w:top w:w="60" w:type="dxa"/>
              <w:bottom w:w="60" w:type="dxa"/>
              <w:start w:w="100" w:type="dxa"/>
              <w:end w:w="100" w:type="dxa"/>
            </w:tcMar>
          </w:tcPr>
          <w:p>
            <w:r/>
            <w:r>
              <w:rPr>
                <w:rFonts w:ascii="Calibri" w:hAnsi="Calibri"/>
                <w:b w:val="0"/>
                <w:sz w:val="19"/>
              </w:rPr>
              <w:t>N1</w:t>
            </w:r>
          </w:p>
        </w:tc>
      </w:tr>
    </w:tbl>
    <w:p>
      <w:pPr>
        <w:spacing w:after="120"/>
      </w:pPr>
    </w:p>
    <w:p>
      <w:pPr>
        <w:spacing w:before="80" w:after="20"/>
      </w:pPr>
      <w:r>
        <w:rPr>
          <w:b/>
          <w:color w:val="1F6F78"/>
          <w:sz w:val="21"/>
        </w:rPr>
        <w:t>Description</w:t>
      </w:r>
    </w:p>
    <w:p>
      <w:pPr>
        <w:spacing w:after="120"/>
      </w:pPr>
      <w:r>
        <w:rPr>
          <w:i w:val="0"/>
        </w:rPr>
        <w:t>L'utilisateur crée et gère manuellement ses actifs de tout type : comptes courants, livrets, assurance-vie, PEA, compte-titres (CTO), crypto-actifs, immobilier, métaux précieux, véhicules, objets de valeur, parts de société. Chaque actif porte un nom, un type, une devise et une note. La saisie est rapide et claire, et constitue la base du patrimoine net.</w:t>
      </w:r>
    </w:p>
    <w:p>
      <w:pPr>
        <w:spacing w:before="80" w:after="20"/>
      </w:pPr>
      <w:r>
        <w:rPr>
          <w:b/>
          <w:color w:val="1F6F78"/>
          <w:sz w:val="21"/>
        </w:rPr>
        <w:t>Valeur métier</w:t>
      </w:r>
    </w:p>
    <w:p>
      <w:pPr>
        <w:spacing w:after="120"/>
      </w:pPr>
      <w:r>
        <w:rPr>
          <w:i w:val="0"/>
        </w:rPr>
        <w:t>Permet de représenter l'intégralité du patrimoine, y compris non bancaire, sans dépendre d'aucune synchronisation externe.</w:t>
      </w:r>
    </w:p>
    <w:p>
      <w:pPr>
        <w:spacing w:before="80" w:after="20"/>
      </w:pPr>
      <w:r>
        <w:rPr>
          <w:b/>
          <w:color w:val="1F6F78"/>
          <w:sz w:val="21"/>
        </w:rPr>
        <w:t>Histoires utilisateur</w:t>
      </w:r>
    </w:p>
    <w:p>
      <w:pPr>
        <w:pStyle w:val="ListBullet"/>
        <w:spacing w:after="40"/>
      </w:pPr>
      <w:r>
        <w:t>En tant qu'utilisateur, je veux ajouter mon PEA, ma crypto et mon appartement comme des actifs.</w:t>
      </w:r>
    </w:p>
    <w:p>
      <w:pPr>
        <w:pStyle w:val="ListBullet"/>
        <w:spacing w:after="40"/>
      </w:pPr>
      <w:r>
        <w:t>En tant qu'utilisateur, je veux catégoriser chaque actif par type.</w:t>
      </w:r>
    </w:p>
    <w:p>
      <w:pPr>
        <w:spacing w:before="80" w:after="20"/>
      </w:pPr>
      <w:r>
        <w:rPr>
          <w:b/>
          <w:color w:val="1F6F78"/>
          <w:sz w:val="21"/>
        </w:rPr>
        <w:t>Règles de gestion</w:t>
      </w:r>
    </w:p>
    <w:p>
      <w:pPr>
        <w:pStyle w:val="ListBullet"/>
        <w:spacing w:after="40"/>
      </w:pPr>
      <w:r>
        <w:t>Le type d'actif est choisi dans une liste contrôlée et extensible.</w:t>
      </w:r>
    </w:p>
    <w:p>
      <w:pPr>
        <w:pStyle w:val="ListBullet"/>
        <w:spacing w:after="40"/>
      </w:pPr>
      <w:r>
        <w:t>La devise par défaut est l'euro, modifiable.</w:t>
      </w:r>
    </w:p>
    <w:p>
      <w:pPr>
        <w:pStyle w:val="ListBullet"/>
        <w:spacing w:after="40"/>
      </w:pPr>
      <w:r>
        <w:t>Un actif peut être archivé sans être supprimé (sortie du calcul du patrimoine).</w:t>
      </w:r>
    </w:p>
    <w:p>
      <w:pPr>
        <w:spacing w:before="80" w:after="20"/>
      </w:pPr>
      <w:r>
        <w:rPr>
          <w:b/>
          <w:color w:val="1F6F78"/>
          <w:sz w:val="21"/>
        </w:rPr>
        <w:t>Données &amp; calculs</w:t>
      </w:r>
    </w:p>
    <w:p>
      <w:pPr>
        <w:spacing w:after="120"/>
      </w:pPr>
      <w:r>
        <w:rPr>
          <w:i w:val="0"/>
        </w:rPr>
        <w:t>Entité Asset (profil, nom, type, devise, note, archivé, horodatages).</w:t>
      </w:r>
    </w:p>
    <w:p>
      <w:pPr>
        <w:spacing w:before="80" w:after="20"/>
      </w:pPr>
      <w:r>
        <w:rPr>
          <w:b/>
          <w:color w:val="1F6F78"/>
          <w:sz w:val="21"/>
        </w:rPr>
        <w:t>Critères d'acceptation</w:t>
      </w:r>
    </w:p>
    <w:p>
      <w:pPr>
        <w:pStyle w:val="ListBullet"/>
        <w:spacing w:after="40"/>
      </w:pPr>
      <w:r>
        <w:t>La création, l'édition, l'archivage et la suppression d'un actif fonctionnent.</w:t>
      </w:r>
    </w:p>
    <w:p>
      <w:pPr>
        <w:pStyle w:val="ListBullet"/>
        <w:spacing w:after="40"/>
      </w:pPr>
      <w:r>
        <w:t>Un nouvel actif apparaît dans la liste du patrimoine du bon profil.</w:t>
      </w:r>
    </w:p>
    <w:p>
      <w:pPr>
        <w:spacing w:after="160"/>
      </w:pPr>
    </w:p>
    <w:p>
      <w:pPr>
        <w:pStyle w:val="Heading3"/>
      </w:pPr>
      <w:r>
        <w:t>EF-031 — Saisie manuelle de passifs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M — Must (indispensable)</w:t>
            </w:r>
          </w:p>
        </w:tc>
        <w:tc>
          <w:tcPr>
            <w:tcW w:type="dxa" w:w="1361"/>
            <w:tcMar>
              <w:top w:w="60" w:type="dxa"/>
              <w:bottom w:w="60" w:type="dxa"/>
              <w:start w:w="100" w:type="dxa"/>
              <w:end w:w="100" w:type="dxa"/>
            </w:tcMar>
          </w:tcPr>
          <w:p>
            <w:r/>
            <w:r>
              <w:rPr>
                <w:rFonts w:ascii="Calibri" w:hAnsi="Calibri"/>
                <w:b w:val="0"/>
                <w:sz w:val="19"/>
              </w:rPr>
              <w:t>P1</w:t>
            </w:r>
          </w:p>
        </w:tc>
        <w:tc>
          <w:tcPr>
            <w:tcW w:type="dxa" w:w="2608"/>
            <w:tcMar>
              <w:top w:w="60" w:type="dxa"/>
              <w:bottom w:w="60" w:type="dxa"/>
              <w:start w:w="100" w:type="dxa"/>
              <w:end w:w="100" w:type="dxa"/>
            </w:tcMar>
          </w:tcPr>
          <w:p>
            <w:r/>
            <w:r>
              <w:rPr>
                <w:rFonts w:ascii="Calibri" w:hAnsi="Calibri"/>
                <w:b w:val="0"/>
                <w:sz w:val="19"/>
              </w:rPr>
              <w:t>Patrimoine</w:t>
            </w:r>
          </w:p>
        </w:tc>
        <w:tc>
          <w:tcPr>
            <w:tcW w:type="dxa" w:w="2268"/>
            <w:tcMar>
              <w:top w:w="60" w:type="dxa"/>
              <w:bottom w:w="60" w:type="dxa"/>
              <w:start w:w="100" w:type="dxa"/>
              <w:end w:w="100" w:type="dxa"/>
            </w:tcMar>
          </w:tcPr>
          <w:p>
            <w:r/>
            <w:r>
              <w:rPr>
                <w:rFonts w:ascii="Calibri" w:hAnsi="Calibri"/>
                <w:b w:val="0"/>
                <w:sz w:val="19"/>
              </w:rPr>
              <w:t>N1</w:t>
            </w:r>
          </w:p>
        </w:tc>
      </w:tr>
    </w:tbl>
    <w:p>
      <w:pPr>
        <w:spacing w:after="120"/>
      </w:pPr>
    </w:p>
    <w:p>
      <w:pPr>
        <w:spacing w:before="80" w:after="20"/>
      </w:pPr>
      <w:r>
        <w:rPr>
          <w:b/>
          <w:color w:val="1F6F78"/>
          <w:sz w:val="21"/>
        </w:rPr>
        <w:t>Description</w:t>
      </w:r>
    </w:p>
    <w:p>
      <w:pPr>
        <w:spacing w:after="120"/>
      </w:pPr>
      <w:r>
        <w:rPr>
          <w:i w:val="0"/>
        </w:rPr>
        <w:t>L'utilisateur saisit ses passifs : crédits immobiliers, crédits auto, crédits à la consommation. Chaque passif porte un nom, un type, une devise et une note ; son capital restant dû est suivi par valorisations successives. Les passifs sont soustraits des actifs pour le patrimoine net.</w:t>
      </w:r>
    </w:p>
    <w:p>
      <w:pPr>
        <w:spacing w:before="80" w:after="20"/>
      </w:pPr>
      <w:r>
        <w:rPr>
          <w:b/>
          <w:color w:val="1F6F78"/>
          <w:sz w:val="21"/>
        </w:rPr>
        <w:t>Valeur métier</w:t>
      </w:r>
    </w:p>
    <w:p>
      <w:pPr>
        <w:spacing w:after="120"/>
      </w:pPr>
      <w:r>
        <w:rPr>
          <w:i w:val="0"/>
        </w:rPr>
        <w:t>Donne une vision honnête du patrimoine en intégrant l'endettement, condition d'un chiffre net fiable.</w:t>
      </w:r>
    </w:p>
    <w:p>
      <w:pPr>
        <w:spacing w:before="80" w:after="20"/>
      </w:pPr>
      <w:r>
        <w:rPr>
          <w:b/>
          <w:color w:val="1F6F78"/>
          <w:sz w:val="21"/>
        </w:rPr>
        <w:t>Histoires utilisateur</w:t>
      </w:r>
    </w:p>
    <w:p>
      <w:pPr>
        <w:pStyle w:val="ListBullet"/>
        <w:spacing w:after="40"/>
      </w:pPr>
      <w:r>
        <w:t>En tant qu'utilisateur, je veux enregistrer mon crédit immobilier et suivre son capital restant dû.</w:t>
      </w:r>
    </w:p>
    <w:p>
      <w:pPr>
        <w:spacing w:before="80" w:after="20"/>
      </w:pPr>
      <w:r>
        <w:rPr>
          <w:b/>
          <w:color w:val="1F6F78"/>
          <w:sz w:val="21"/>
        </w:rPr>
        <w:t>Règles de gestion</w:t>
      </w:r>
    </w:p>
    <w:p>
      <w:pPr>
        <w:pStyle w:val="ListBullet"/>
        <w:spacing w:after="40"/>
      </w:pPr>
      <w:r>
        <w:t>Le type de passif est choisi dans une liste contrôlée.</w:t>
      </w:r>
    </w:p>
    <w:p>
      <w:pPr>
        <w:pStyle w:val="ListBullet"/>
        <w:spacing w:after="40"/>
      </w:pPr>
      <w:r>
        <w:t>Le capital restant dû est suivi via l'historique de valorisations.</w:t>
      </w:r>
    </w:p>
    <w:p>
      <w:pPr>
        <w:pStyle w:val="ListBullet"/>
        <w:spacing w:after="40"/>
      </w:pPr>
      <w:r>
        <w:t>Un passif archivé sort du calcul du patrimoine net.</w:t>
      </w:r>
    </w:p>
    <w:p>
      <w:pPr>
        <w:spacing w:before="80" w:after="20"/>
      </w:pPr>
      <w:r>
        <w:rPr>
          <w:b/>
          <w:color w:val="1F6F78"/>
          <w:sz w:val="21"/>
        </w:rPr>
        <w:t>Données &amp; calculs</w:t>
      </w:r>
    </w:p>
    <w:p>
      <w:pPr>
        <w:spacing w:after="120"/>
      </w:pPr>
      <w:r>
        <w:rPr>
          <w:i w:val="0"/>
        </w:rPr>
        <w:t>Entité Liability (profil, nom, type, devise, note, archivé, horodatages).</w:t>
      </w:r>
    </w:p>
    <w:p>
      <w:pPr>
        <w:spacing w:before="80" w:after="20"/>
      </w:pPr>
      <w:r>
        <w:rPr>
          <w:b/>
          <w:color w:val="1F6F78"/>
          <w:sz w:val="21"/>
        </w:rPr>
        <w:t>Critères d'acceptation</w:t>
      </w:r>
    </w:p>
    <w:p>
      <w:pPr>
        <w:pStyle w:val="ListBullet"/>
        <w:spacing w:after="40"/>
      </w:pPr>
      <w:r>
        <w:t>La création et le suivi d'un passif fonctionnent.</w:t>
      </w:r>
    </w:p>
    <w:p>
      <w:pPr>
        <w:pStyle w:val="ListBullet"/>
        <w:spacing w:after="40"/>
      </w:pPr>
      <w:r>
        <w:t>Le passif est correctement déduit du patrimoine net.</w:t>
      </w:r>
    </w:p>
    <w:p>
      <w:pPr>
        <w:spacing w:after="160"/>
      </w:pPr>
    </w:p>
    <w:p>
      <w:pPr>
        <w:pStyle w:val="Heading3"/>
      </w:pPr>
      <w:r>
        <w:t>EF-032 — Historique de valorisations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M — Must (indispensable)</w:t>
            </w:r>
          </w:p>
        </w:tc>
        <w:tc>
          <w:tcPr>
            <w:tcW w:type="dxa" w:w="1361"/>
            <w:tcMar>
              <w:top w:w="60" w:type="dxa"/>
              <w:bottom w:w="60" w:type="dxa"/>
              <w:start w:w="100" w:type="dxa"/>
              <w:end w:w="100" w:type="dxa"/>
            </w:tcMar>
          </w:tcPr>
          <w:p>
            <w:r/>
            <w:r>
              <w:rPr>
                <w:rFonts w:ascii="Calibri" w:hAnsi="Calibri"/>
                <w:b w:val="0"/>
                <w:sz w:val="19"/>
              </w:rPr>
              <w:t>P1</w:t>
            </w:r>
          </w:p>
        </w:tc>
        <w:tc>
          <w:tcPr>
            <w:tcW w:type="dxa" w:w="2608"/>
            <w:tcMar>
              <w:top w:w="60" w:type="dxa"/>
              <w:bottom w:w="60" w:type="dxa"/>
              <w:start w:w="100" w:type="dxa"/>
              <w:end w:w="100" w:type="dxa"/>
            </w:tcMar>
          </w:tcPr>
          <w:p>
            <w:r/>
            <w:r>
              <w:rPr>
                <w:rFonts w:ascii="Calibri" w:hAnsi="Calibri"/>
                <w:b w:val="0"/>
                <w:sz w:val="19"/>
              </w:rPr>
              <w:t>Patrimoine</w:t>
            </w:r>
          </w:p>
        </w:tc>
        <w:tc>
          <w:tcPr>
            <w:tcW w:type="dxa" w:w="2268"/>
            <w:tcMar>
              <w:top w:w="60" w:type="dxa"/>
              <w:bottom w:w="60" w:type="dxa"/>
              <w:start w:w="100" w:type="dxa"/>
              <w:end w:w="100" w:type="dxa"/>
            </w:tcMar>
          </w:tcPr>
          <w:p>
            <w:r/>
            <w:r>
              <w:rPr>
                <w:rFonts w:ascii="Calibri" w:hAnsi="Calibri"/>
                <w:b w:val="0"/>
                <w:sz w:val="19"/>
              </w:rPr>
              <w:t>N1</w:t>
            </w:r>
          </w:p>
        </w:tc>
      </w:tr>
    </w:tbl>
    <w:p>
      <w:pPr>
        <w:spacing w:after="120"/>
      </w:pPr>
    </w:p>
    <w:p>
      <w:pPr>
        <w:spacing w:before="80" w:after="20"/>
      </w:pPr>
      <w:r>
        <w:rPr>
          <w:b/>
          <w:color w:val="1F6F78"/>
          <w:sz w:val="21"/>
        </w:rPr>
        <w:t>Description</w:t>
      </w:r>
    </w:p>
    <w:p>
      <w:pPr>
        <w:spacing w:after="120"/>
      </w:pPr>
      <w:r>
        <w:rPr>
          <w:i w:val="0"/>
        </w:rPr>
        <w:t>Chaque actif et chaque passif possède un historique de valorisations : des snapshots datés de leur valeur (en centimes). C'est cet historique qui alimente la courbe d'évolution du patrimoine net. L'utilisateur ajoute une valorisation à une date donnée ; la plus récente fait foi pour les totaux.</w:t>
      </w:r>
    </w:p>
    <w:p>
      <w:pPr>
        <w:spacing w:before="80" w:after="20"/>
      </w:pPr>
      <w:r>
        <w:rPr>
          <w:b/>
          <w:color w:val="1F6F78"/>
          <w:sz w:val="21"/>
        </w:rPr>
        <w:t>Valeur métier</w:t>
      </w:r>
    </w:p>
    <w:p>
      <w:pPr>
        <w:spacing w:after="120"/>
      </w:pPr>
      <w:r>
        <w:rPr>
          <w:i w:val="0"/>
        </w:rPr>
        <w:t>Constitue la mémoire patrimoniale du produit et la source unique des courbes et variations.</w:t>
      </w:r>
    </w:p>
    <w:p>
      <w:pPr>
        <w:spacing w:before="80" w:after="20"/>
      </w:pPr>
      <w:r>
        <w:rPr>
          <w:b/>
          <w:color w:val="1F6F78"/>
          <w:sz w:val="21"/>
        </w:rPr>
        <w:t>Histoires utilisateur</w:t>
      </w:r>
    </w:p>
    <w:p>
      <w:pPr>
        <w:pStyle w:val="ListBullet"/>
        <w:spacing w:after="40"/>
      </w:pPr>
      <w:r>
        <w:t>En tant qu'utilisateur, je veux enregistrer la valeur de mon PEA chaque mois pour suivre son évolution.</w:t>
      </w:r>
    </w:p>
    <w:p>
      <w:pPr>
        <w:pStyle w:val="ListBullet"/>
        <w:spacing w:after="40"/>
      </w:pPr>
      <w:r>
        <w:t>En tant qu'utilisateur, je veux consulter l'historique de valeur d'un actif.</w:t>
      </w:r>
    </w:p>
    <w:p>
      <w:pPr>
        <w:spacing w:before="80" w:after="20"/>
      </w:pPr>
      <w:r>
        <w:rPr>
          <w:b/>
          <w:color w:val="1F6F78"/>
          <w:sz w:val="21"/>
        </w:rPr>
        <w:t>Règles de gestion</w:t>
      </w:r>
    </w:p>
    <w:p>
      <w:pPr>
        <w:pStyle w:val="ListBullet"/>
        <w:spacing w:after="40"/>
      </w:pPr>
      <w:r>
        <w:t>Une valorisation porte une date (jour) et un montant positif en centimes.</w:t>
      </w:r>
    </w:p>
    <w:p>
      <w:pPr>
        <w:pStyle w:val="ListBullet"/>
        <w:spacing w:after="40"/>
      </w:pPr>
      <w:r>
        <w:t>La valorisation la plus récente d'un sujet détermine sa valeur courante.</w:t>
      </w:r>
    </w:p>
    <w:p>
      <w:pPr>
        <w:pStyle w:val="ListBullet"/>
        <w:spacing w:after="40"/>
      </w:pPr>
      <w:r>
        <w:t>L'historique est consultable et ordonné par date décroissante.</w:t>
      </w:r>
    </w:p>
    <w:p>
      <w:pPr>
        <w:spacing w:before="80" w:after="20"/>
      </w:pPr>
      <w:r>
        <w:rPr>
          <w:b/>
          <w:color w:val="1F6F78"/>
          <w:sz w:val="21"/>
        </w:rPr>
        <w:t>Données &amp; calculs</w:t>
      </w:r>
    </w:p>
    <w:p>
      <w:pPr>
        <w:spacing w:after="120"/>
      </w:pPr>
      <w:r>
        <w:rPr>
          <w:i w:val="0"/>
        </w:rPr>
        <w:t>Entité Valuation (profil, actif ou passif, montant en centimes, date, note).</w:t>
      </w:r>
    </w:p>
    <w:p>
      <w:pPr>
        <w:spacing w:before="80" w:after="20"/>
      </w:pPr>
      <w:r>
        <w:rPr>
          <w:b/>
          <w:color w:val="1F6F78"/>
          <w:sz w:val="21"/>
        </w:rPr>
        <w:t>Critères d'acceptation</w:t>
      </w:r>
    </w:p>
    <w:p>
      <w:pPr>
        <w:pStyle w:val="ListBullet"/>
        <w:spacing w:after="40"/>
      </w:pPr>
      <w:r>
        <w:t>L'ajout d'une valorisation met à jour la valeur courante et la courbe.</w:t>
      </w:r>
    </w:p>
    <w:p>
      <w:pPr>
        <w:pStyle w:val="ListBullet"/>
        <w:spacing w:after="40"/>
      </w:pPr>
      <w:r>
        <w:t>L'historique reflète fidèlement les saisies.</w:t>
      </w:r>
    </w:p>
    <w:p>
      <w:pPr>
        <w:spacing w:after="160"/>
      </w:pPr>
    </w:p>
    <w:p>
      <w:pPr>
        <w:pStyle w:val="Heading3"/>
      </w:pPr>
      <w:r>
        <w:t>EF-033 — Centre immobilier</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C — Could (souhaitable)</w:t>
            </w:r>
          </w:p>
        </w:tc>
        <w:tc>
          <w:tcPr>
            <w:tcW w:type="dxa" w:w="1361"/>
            <w:tcMar>
              <w:top w:w="60" w:type="dxa"/>
              <w:bottom w:w="60" w:type="dxa"/>
              <w:start w:w="100" w:type="dxa"/>
              <w:end w:w="100" w:type="dxa"/>
            </w:tcMar>
          </w:tcPr>
          <w:p>
            <w:r/>
            <w:r>
              <w:rPr>
                <w:rFonts w:ascii="Calibri" w:hAnsi="Calibri"/>
                <w:b w:val="0"/>
                <w:sz w:val="19"/>
              </w:rPr>
              <w:t>P6</w:t>
            </w:r>
          </w:p>
        </w:tc>
        <w:tc>
          <w:tcPr>
            <w:tcW w:type="dxa" w:w="2608"/>
            <w:tcMar>
              <w:top w:w="60" w:type="dxa"/>
              <w:bottom w:w="60" w:type="dxa"/>
              <w:start w:w="100" w:type="dxa"/>
              <w:end w:w="100" w:type="dxa"/>
            </w:tcMar>
          </w:tcPr>
          <w:p>
            <w:r/>
            <w:r>
              <w:rPr>
                <w:rFonts w:ascii="Calibri" w:hAnsi="Calibri"/>
                <w:b w:val="0"/>
                <w:sz w:val="19"/>
              </w:rPr>
              <w:t>Patrimoine</w:t>
            </w:r>
          </w:p>
        </w:tc>
        <w:tc>
          <w:tcPr>
            <w:tcW w:type="dxa" w:w="2268"/>
            <w:tcMar>
              <w:top w:w="60" w:type="dxa"/>
              <w:bottom w:w="60" w:type="dxa"/>
              <w:start w:w="100" w:type="dxa"/>
              <w:end w:w="100" w:type="dxa"/>
            </w:tcMar>
          </w:tcPr>
          <w:p>
            <w:r/>
            <w:r>
              <w:rPr>
                <w:rFonts w:ascii="Calibri" w:hAnsi="Calibri"/>
                <w:b w:val="0"/>
                <w:sz w:val="19"/>
              </w:rPr>
              <w:t>N1</w:t>
            </w:r>
          </w:p>
        </w:tc>
      </w:tr>
    </w:tbl>
    <w:p>
      <w:pPr>
        <w:spacing w:after="120"/>
      </w:pPr>
    </w:p>
    <w:p>
      <w:pPr>
        <w:spacing w:before="80" w:after="20"/>
      </w:pPr>
      <w:r>
        <w:rPr>
          <w:b/>
          <w:color w:val="1F6F78"/>
          <w:sz w:val="21"/>
        </w:rPr>
        <w:t>Description</w:t>
      </w:r>
    </w:p>
    <w:p>
      <w:pPr>
        <w:spacing w:after="120"/>
      </w:pPr>
      <w:r>
        <w:rPr>
          <w:i w:val="0"/>
        </w:rPr>
        <w:t>Une mini-application dédiée à l'immobilier : pour chaque bien, valeur d'achat et valeur estimée, crédit adossé et capital restant dû, rendement locatif, cashflow mensuel (loyers − charges − échéance), taxe foncière, et indicateurs de performance. Elle relie l'actif immobilier et le passif de crédit correspondant.</w:t>
      </w:r>
    </w:p>
    <w:p>
      <w:pPr>
        <w:spacing w:before="80" w:after="20"/>
      </w:pPr>
      <w:r>
        <w:rPr>
          <w:b/>
          <w:color w:val="1F6F78"/>
          <w:sz w:val="21"/>
        </w:rPr>
        <w:t>Valeur métier</w:t>
      </w:r>
    </w:p>
    <w:p>
      <w:pPr>
        <w:spacing w:after="120"/>
      </w:pPr>
      <w:r>
        <w:rPr>
          <w:i w:val="0"/>
        </w:rPr>
        <w:t>Adresse l'immobilier comme une classe d'actifs à part entière, souvent dominante dans un patrimoine.</w:t>
      </w:r>
    </w:p>
    <w:p>
      <w:pPr>
        <w:spacing w:before="80" w:after="20"/>
      </w:pPr>
      <w:r>
        <w:rPr>
          <w:b/>
          <w:color w:val="1F6F78"/>
          <w:sz w:val="21"/>
        </w:rPr>
        <w:t>Histoires utilisateur</w:t>
      </w:r>
    </w:p>
    <w:p>
      <w:pPr>
        <w:pStyle w:val="ListBullet"/>
        <w:spacing w:after="40"/>
      </w:pPr>
      <w:r>
        <w:t>En tant qu'utilisateur, je veux suivre le rendement et le cashflow de mon bien locatif.</w:t>
      </w:r>
    </w:p>
    <w:p>
      <w:pPr>
        <w:pStyle w:val="ListBullet"/>
        <w:spacing w:after="40"/>
      </w:pPr>
      <w:r>
        <w:t>En tant qu'utilisateur, je veux relier mon crédit immo à mon bien.</w:t>
      </w:r>
    </w:p>
    <w:p>
      <w:pPr>
        <w:spacing w:before="80" w:after="20"/>
      </w:pPr>
      <w:r>
        <w:rPr>
          <w:b/>
          <w:color w:val="1F6F78"/>
          <w:sz w:val="21"/>
        </w:rPr>
        <w:t>Règles de gestion</w:t>
      </w:r>
    </w:p>
    <w:p>
      <w:pPr>
        <w:pStyle w:val="ListBullet"/>
        <w:spacing w:after="40"/>
      </w:pPr>
      <w:r>
        <w:t>Un bien relie un actif immobilier et, le cas échéant, un passif de crédit.</w:t>
      </w:r>
    </w:p>
    <w:p>
      <w:pPr>
        <w:pStyle w:val="ListBullet"/>
        <w:spacing w:after="40"/>
      </w:pPr>
      <w:r>
        <w:t>Le cashflow et le rendement sont calculés de façon déterministe.</w:t>
      </w:r>
    </w:p>
    <w:p>
      <w:pPr>
        <w:pStyle w:val="ListBullet"/>
        <w:spacing w:after="40"/>
      </w:pPr>
      <w:r>
        <w:t>La taxe foncière et les charges sont prises en compte.</w:t>
      </w:r>
    </w:p>
    <w:p>
      <w:pPr>
        <w:spacing w:before="80" w:after="20"/>
      </w:pPr>
      <w:r>
        <w:rPr>
          <w:b/>
          <w:color w:val="1F6F78"/>
          <w:sz w:val="21"/>
        </w:rPr>
        <w:t>Données &amp; calculs</w:t>
      </w:r>
    </w:p>
    <w:p>
      <w:pPr>
        <w:spacing w:after="120"/>
      </w:pPr>
      <w:r>
        <w:rPr>
          <w:i w:val="0"/>
        </w:rPr>
        <w:t>Asset immobilier ; Liability adossée ; paramètres (loyers, charges, taxe).</w:t>
      </w:r>
    </w:p>
    <w:p>
      <w:pPr>
        <w:spacing w:before="80" w:after="20"/>
      </w:pPr>
      <w:r>
        <w:rPr>
          <w:b/>
          <w:color w:val="1F6F78"/>
          <w:sz w:val="21"/>
        </w:rPr>
        <w:t>Critères d'acceptation</w:t>
      </w:r>
    </w:p>
    <w:p>
      <w:pPr>
        <w:pStyle w:val="ListBullet"/>
        <w:spacing w:after="40"/>
      </w:pPr>
      <w:r>
        <w:t>Le cashflow et le rendement affichés sont exacts au regard des paramètres saisis.</w:t>
      </w:r>
    </w:p>
    <w:p>
      <w:pPr>
        <w:pStyle w:val="ListBullet"/>
        <w:spacing w:after="40"/>
      </w:pPr>
      <w:r>
        <w:t>Le bien et son crédit sont correctement reliés.</w:t>
      </w:r>
    </w:p>
    <w:p>
      <w:pPr>
        <w:spacing w:after="160"/>
      </w:pPr>
    </w:p>
    <w:p>
      <w:pPr>
        <w:pStyle w:val="Heading3"/>
      </w:pPr>
      <w:r>
        <w:t>EF-034 — Centre investissement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C — Could (souhaitable)</w:t>
            </w:r>
          </w:p>
        </w:tc>
        <w:tc>
          <w:tcPr>
            <w:tcW w:type="dxa" w:w="1361"/>
            <w:tcMar>
              <w:top w:w="60" w:type="dxa"/>
              <w:bottom w:w="60" w:type="dxa"/>
              <w:start w:w="100" w:type="dxa"/>
              <w:end w:w="100" w:type="dxa"/>
            </w:tcMar>
          </w:tcPr>
          <w:p>
            <w:r/>
            <w:r>
              <w:rPr>
                <w:rFonts w:ascii="Calibri" w:hAnsi="Calibri"/>
                <w:b w:val="0"/>
                <w:sz w:val="19"/>
              </w:rPr>
              <w:t>P6</w:t>
            </w:r>
          </w:p>
        </w:tc>
        <w:tc>
          <w:tcPr>
            <w:tcW w:type="dxa" w:w="2608"/>
            <w:tcMar>
              <w:top w:w="60" w:type="dxa"/>
              <w:bottom w:w="60" w:type="dxa"/>
              <w:start w:w="100" w:type="dxa"/>
              <w:end w:w="100" w:type="dxa"/>
            </w:tcMar>
          </w:tcPr>
          <w:p>
            <w:r/>
            <w:r>
              <w:rPr>
                <w:rFonts w:ascii="Calibri" w:hAnsi="Calibri"/>
                <w:b w:val="0"/>
                <w:sz w:val="19"/>
              </w:rPr>
              <w:t>Patrimoine</w:t>
            </w:r>
          </w:p>
        </w:tc>
        <w:tc>
          <w:tcPr>
            <w:tcW w:type="dxa" w:w="2268"/>
            <w:tcMar>
              <w:top w:w="60" w:type="dxa"/>
              <w:bottom w:w="60" w:type="dxa"/>
              <w:start w:w="100" w:type="dxa"/>
              <w:end w:w="100" w:type="dxa"/>
            </w:tcMar>
          </w:tcPr>
          <w:p>
            <w:r/>
            <w:r>
              <w:rPr>
                <w:rFonts w:ascii="Calibri" w:hAnsi="Calibri"/>
                <w:b w:val="0"/>
                <w:sz w:val="19"/>
              </w:rPr>
              <w:t>N2</w:t>
            </w:r>
          </w:p>
        </w:tc>
      </w:tr>
    </w:tbl>
    <w:p>
      <w:pPr>
        <w:spacing w:after="120"/>
      </w:pPr>
    </w:p>
    <w:p>
      <w:pPr>
        <w:spacing w:before="80" w:after="20"/>
      </w:pPr>
      <w:r>
        <w:rPr>
          <w:b/>
          <w:color w:val="1F6F78"/>
          <w:sz w:val="21"/>
        </w:rPr>
        <w:t>Description</w:t>
      </w:r>
    </w:p>
    <w:p>
      <w:pPr>
        <w:spacing w:after="120"/>
      </w:pPr>
      <w:r>
        <w:rPr>
          <w:i w:val="0"/>
        </w:rPr>
        <w:t>Un centre de suivi (et non de trading) des placements : PEA, CTO, assurance-vie, crypto, avec répartition par classe d'actifs (actions, obligations, immobilier papier, liquidités) et suivi de performance. Il agrège les valorisations et présente la diversification du portefeuille.</w:t>
      </w:r>
    </w:p>
    <w:p>
      <w:pPr>
        <w:spacing w:before="80" w:after="20"/>
      </w:pPr>
      <w:r>
        <w:rPr>
          <w:b/>
          <w:color w:val="1F6F78"/>
          <w:sz w:val="21"/>
        </w:rPr>
        <w:t>Valeur métier</w:t>
      </w:r>
    </w:p>
    <w:p>
      <w:pPr>
        <w:spacing w:after="120"/>
      </w:pPr>
      <w:r>
        <w:rPr>
          <w:i w:val="0"/>
        </w:rPr>
        <w:t>Donne une vision consolidée et une mesure de diversification des placements, sans exécuter d'ordres.</w:t>
      </w:r>
    </w:p>
    <w:p>
      <w:pPr>
        <w:spacing w:before="80" w:after="20"/>
      </w:pPr>
      <w:r>
        <w:rPr>
          <w:b/>
          <w:color w:val="1F6F78"/>
          <w:sz w:val="21"/>
        </w:rPr>
        <w:t>Histoires utilisateur</w:t>
      </w:r>
    </w:p>
    <w:p>
      <w:pPr>
        <w:pStyle w:val="ListBullet"/>
        <w:spacing w:after="40"/>
      </w:pPr>
      <w:r>
        <w:t>En tant qu'utilisateur, je veux voir la répartition de mes placements par classe d'actifs.</w:t>
      </w:r>
    </w:p>
    <w:p>
      <w:pPr>
        <w:pStyle w:val="ListBullet"/>
        <w:spacing w:after="40"/>
      </w:pPr>
      <w:r>
        <w:t>En tant qu'utilisateur, je veux suivre la performance globale de mon portefeuille.</w:t>
      </w:r>
    </w:p>
    <w:p>
      <w:pPr>
        <w:spacing w:before="80" w:after="20"/>
      </w:pPr>
      <w:r>
        <w:rPr>
          <w:b/>
          <w:color w:val="1F6F78"/>
          <w:sz w:val="21"/>
        </w:rPr>
        <w:t>Règles de gestion</w:t>
      </w:r>
    </w:p>
    <w:p>
      <w:pPr>
        <w:pStyle w:val="ListBullet"/>
        <w:spacing w:after="40"/>
      </w:pPr>
      <w:r>
        <w:t>La répartition est calculée à partir des valorisations et des classes d'actifs.</w:t>
      </w:r>
    </w:p>
    <w:p>
      <w:pPr>
        <w:pStyle w:val="ListBullet"/>
        <w:spacing w:after="40"/>
      </w:pPr>
      <w:r>
        <w:t>Aucune fonction de passage d'ordre n'est proposée.</w:t>
      </w:r>
    </w:p>
    <w:p>
      <w:pPr>
        <w:pStyle w:val="ListBullet"/>
        <w:spacing w:after="40"/>
      </w:pPr>
      <w:r>
        <w:t>Les performances sont déterministes ; l'IA peut commenter sans chiffrer.</w:t>
      </w:r>
    </w:p>
    <w:p>
      <w:pPr>
        <w:spacing w:before="80" w:after="20"/>
      </w:pPr>
      <w:r>
        <w:rPr>
          <w:b/>
          <w:color w:val="1F6F78"/>
          <w:sz w:val="21"/>
        </w:rPr>
        <w:t>Données &amp; calculs</w:t>
      </w:r>
    </w:p>
    <w:p>
      <w:pPr>
        <w:spacing w:after="120"/>
      </w:pPr>
      <w:r>
        <w:rPr>
          <w:i w:val="0"/>
        </w:rPr>
        <w:t>Actifs de placement ; classes d'actifs ; valorisations.</w:t>
      </w:r>
    </w:p>
    <w:p>
      <w:pPr>
        <w:spacing w:before="80" w:after="20"/>
      </w:pPr>
      <w:r>
        <w:rPr>
          <w:b/>
          <w:color w:val="1F6F78"/>
          <w:sz w:val="21"/>
        </w:rPr>
        <w:t>Critères d'acceptation</w:t>
      </w:r>
    </w:p>
    <w:p>
      <w:pPr>
        <w:pStyle w:val="ListBullet"/>
        <w:spacing w:after="40"/>
      </w:pPr>
      <w:r>
        <w:t>La répartition par classe est exacte.</w:t>
      </w:r>
    </w:p>
    <w:p>
      <w:pPr>
        <w:pStyle w:val="ListBullet"/>
        <w:spacing w:after="40"/>
      </w:pPr>
      <w:r>
        <w:t>La performance agrégée est cohérente avec les valorisations.</w:t>
      </w:r>
    </w:p>
    <w:p>
      <w:pPr>
        <w:spacing w:after="160"/>
      </w:pPr>
    </w:p>
    <w:p>
      <w:pPr>
        <w:pStyle w:val="Heading3"/>
      </w:pPr>
      <w:r>
        <w:t>EF-035 — Valeur des objets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C — Could (souhaitable)</w:t>
            </w:r>
          </w:p>
        </w:tc>
        <w:tc>
          <w:tcPr>
            <w:tcW w:type="dxa" w:w="1361"/>
            <w:tcMar>
              <w:top w:w="60" w:type="dxa"/>
              <w:bottom w:w="60" w:type="dxa"/>
              <w:start w:w="100" w:type="dxa"/>
              <w:end w:w="100" w:type="dxa"/>
            </w:tcMar>
          </w:tcPr>
          <w:p>
            <w:r/>
            <w:r>
              <w:rPr>
                <w:rFonts w:ascii="Calibri" w:hAnsi="Calibri"/>
                <w:b w:val="0"/>
                <w:sz w:val="19"/>
              </w:rPr>
              <w:t>P6</w:t>
            </w:r>
          </w:p>
        </w:tc>
        <w:tc>
          <w:tcPr>
            <w:tcW w:type="dxa" w:w="2608"/>
            <w:tcMar>
              <w:top w:w="60" w:type="dxa"/>
              <w:bottom w:w="60" w:type="dxa"/>
              <w:start w:w="100" w:type="dxa"/>
              <w:end w:w="100" w:type="dxa"/>
            </w:tcMar>
          </w:tcPr>
          <w:p>
            <w:r/>
            <w:r>
              <w:rPr>
                <w:rFonts w:ascii="Calibri" w:hAnsi="Calibri"/>
                <w:b w:val="0"/>
                <w:sz w:val="19"/>
              </w:rPr>
              <w:t>Patrimoine</w:t>
            </w:r>
          </w:p>
        </w:tc>
        <w:tc>
          <w:tcPr>
            <w:tcW w:type="dxa" w:w="2268"/>
            <w:tcMar>
              <w:top w:w="60" w:type="dxa"/>
              <w:bottom w:w="60" w:type="dxa"/>
              <w:start w:w="100" w:type="dxa"/>
              <w:end w:w="100" w:type="dxa"/>
            </w:tcMar>
          </w:tcPr>
          <w:p>
            <w:r/>
            <w:r>
              <w:rPr>
                <w:rFonts w:ascii="Calibri" w:hAnsi="Calibri"/>
                <w:b w:val="0"/>
                <w:sz w:val="19"/>
              </w:rPr>
              <w:t>N1</w:t>
            </w:r>
          </w:p>
        </w:tc>
      </w:tr>
    </w:tbl>
    <w:p>
      <w:pPr>
        <w:spacing w:after="120"/>
      </w:pPr>
    </w:p>
    <w:p>
      <w:pPr>
        <w:spacing w:before="80" w:after="20"/>
      </w:pPr>
      <w:r>
        <w:rPr>
          <w:b/>
          <w:color w:val="1F6F78"/>
          <w:sz w:val="21"/>
        </w:rPr>
        <w:t>Description</w:t>
      </w:r>
    </w:p>
    <w:p>
      <w:pPr>
        <w:spacing w:after="120"/>
      </w:pPr>
      <w:r>
        <w:rPr>
          <w:i w:val="0"/>
        </w:rPr>
        <w:t>Un inventaire des objets de valeur : montres, bijoux, or, voitures, œuvres d'art, matériel professionnel, collections. Chaque objet porte une valeur d'achat et une valeur estimée, une photo, une facture et des informations d'assurance. Ces objets comptent dans le patrimoine.</w:t>
      </w:r>
    </w:p>
    <w:p>
      <w:pPr>
        <w:spacing w:before="80" w:after="20"/>
      </w:pPr>
      <w:r>
        <w:rPr>
          <w:b/>
          <w:color w:val="1F6F78"/>
          <w:sz w:val="21"/>
        </w:rPr>
        <w:t>Valeur métier</w:t>
      </w:r>
    </w:p>
    <w:p>
      <w:pPr>
        <w:spacing w:after="120"/>
      </w:pPr>
      <w:r>
        <w:rPr>
          <w:i w:val="0"/>
        </w:rPr>
        <w:t>Capture une part du patrimoine souvent ignorée par les autres apps et utile en cas de sinistre ou de transmission.</w:t>
      </w:r>
    </w:p>
    <w:p>
      <w:pPr>
        <w:spacing w:before="80" w:after="20"/>
      </w:pPr>
      <w:r>
        <w:rPr>
          <w:b/>
          <w:color w:val="1F6F78"/>
          <w:sz w:val="21"/>
        </w:rPr>
        <w:t>Histoires utilisateur</w:t>
      </w:r>
    </w:p>
    <w:p>
      <w:pPr>
        <w:pStyle w:val="ListBullet"/>
        <w:spacing w:after="40"/>
      </w:pPr>
      <w:r>
        <w:t>En tant qu'utilisateur, je veux inventorier mes objets de valeur avec photo et facture.</w:t>
      </w:r>
    </w:p>
    <w:p>
      <w:pPr>
        <w:pStyle w:val="ListBullet"/>
        <w:spacing w:after="40"/>
      </w:pPr>
      <w:r>
        <w:t>En tant qu'utilisateur, je veux que leur valeur compte dans mon patrimoine.</w:t>
      </w:r>
    </w:p>
    <w:p>
      <w:pPr>
        <w:spacing w:before="80" w:after="20"/>
      </w:pPr>
      <w:r>
        <w:rPr>
          <w:b/>
          <w:color w:val="1F6F78"/>
          <w:sz w:val="21"/>
        </w:rPr>
        <w:t>Règles de gestion</w:t>
      </w:r>
    </w:p>
    <w:p>
      <w:pPr>
        <w:pStyle w:val="ListBullet"/>
        <w:spacing w:after="40"/>
      </w:pPr>
      <w:r>
        <w:t>Un objet porte valeur d'achat, valeur estimée, photo, facture, assurance.</w:t>
      </w:r>
    </w:p>
    <w:p>
      <w:pPr>
        <w:pStyle w:val="ListBullet"/>
        <w:spacing w:after="40"/>
      </w:pPr>
      <w:r>
        <w:t>Les documents associés relèvent du coffre-fort (confidentialité N3).</w:t>
      </w:r>
    </w:p>
    <w:p>
      <w:pPr>
        <w:pStyle w:val="ListBullet"/>
        <w:spacing w:after="40"/>
      </w:pPr>
      <w:r>
        <w:t>La valeur estimée alimente le patrimoine.</w:t>
      </w:r>
    </w:p>
    <w:p>
      <w:pPr>
        <w:spacing w:before="80" w:after="20"/>
      </w:pPr>
      <w:r>
        <w:rPr>
          <w:b/>
          <w:color w:val="1F6F78"/>
          <w:sz w:val="21"/>
        </w:rPr>
        <w:t>Données &amp; calculs</w:t>
      </w:r>
    </w:p>
    <w:p>
      <w:pPr>
        <w:spacing w:after="120"/>
      </w:pPr>
      <w:r>
        <w:rPr>
          <w:i w:val="0"/>
        </w:rPr>
        <w:t>Asset de type objet ; documents liés (photo, facture) ; informations d'assurance.</w:t>
      </w:r>
    </w:p>
    <w:p>
      <w:pPr>
        <w:spacing w:before="80" w:after="20"/>
      </w:pPr>
      <w:r>
        <w:rPr>
          <w:b/>
          <w:color w:val="1F6F78"/>
          <w:sz w:val="21"/>
        </w:rPr>
        <w:t>Critères d'acceptation</w:t>
      </w:r>
    </w:p>
    <w:p>
      <w:pPr>
        <w:pStyle w:val="ListBullet"/>
        <w:spacing w:after="40"/>
      </w:pPr>
      <w:r>
        <w:t>Un objet inventorié apparaît dans le patrimoine avec sa valeur estimée.</w:t>
      </w:r>
    </w:p>
    <w:p>
      <w:pPr>
        <w:pStyle w:val="ListBullet"/>
        <w:spacing w:after="40"/>
      </w:pPr>
      <w:r>
        <w:t>Les documents associés sont stockés de façon sécurisée.</w:t>
      </w:r>
    </w:p>
    <w:p>
      <w:pPr>
        <w:spacing w:after="160"/>
      </w:pPr>
    </w:p>
    <w:p>
      <w:pPr>
        <w:pStyle w:val="Heading3"/>
      </w:pPr>
      <w:r>
        <w:t>EF-036 — Module entrepreneur</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C — Could (souhaitable)</w:t>
            </w:r>
          </w:p>
        </w:tc>
        <w:tc>
          <w:tcPr>
            <w:tcW w:type="dxa" w:w="1361"/>
            <w:tcMar>
              <w:top w:w="60" w:type="dxa"/>
              <w:bottom w:w="60" w:type="dxa"/>
              <w:start w:w="100" w:type="dxa"/>
              <w:end w:w="100" w:type="dxa"/>
            </w:tcMar>
          </w:tcPr>
          <w:p>
            <w:r/>
            <w:r>
              <w:rPr>
                <w:rFonts w:ascii="Calibri" w:hAnsi="Calibri"/>
                <w:b w:val="0"/>
                <w:sz w:val="19"/>
              </w:rPr>
              <w:t>P7</w:t>
            </w:r>
          </w:p>
        </w:tc>
        <w:tc>
          <w:tcPr>
            <w:tcW w:type="dxa" w:w="2608"/>
            <w:tcMar>
              <w:top w:w="60" w:type="dxa"/>
              <w:bottom w:w="60" w:type="dxa"/>
              <w:start w:w="100" w:type="dxa"/>
              <w:end w:w="100" w:type="dxa"/>
            </w:tcMar>
          </w:tcPr>
          <w:p>
            <w:r/>
            <w:r>
              <w:rPr>
                <w:rFonts w:ascii="Calibri" w:hAnsi="Calibri"/>
                <w:b w:val="0"/>
                <w:sz w:val="19"/>
              </w:rPr>
              <w:t>Patrimoine</w:t>
            </w:r>
          </w:p>
        </w:tc>
        <w:tc>
          <w:tcPr>
            <w:tcW w:type="dxa" w:w="2268"/>
            <w:tcMar>
              <w:top w:w="60" w:type="dxa"/>
              <w:bottom w:w="60" w:type="dxa"/>
              <w:start w:w="100" w:type="dxa"/>
              <w:end w:w="100" w:type="dxa"/>
            </w:tcMar>
          </w:tcPr>
          <w:p>
            <w:r/>
            <w:r>
              <w:rPr>
                <w:rFonts w:ascii="Calibri" w:hAnsi="Calibri"/>
                <w:b w:val="0"/>
                <w:sz w:val="19"/>
              </w:rPr>
              <w:t>N1</w:t>
            </w:r>
          </w:p>
        </w:tc>
      </w:tr>
    </w:tbl>
    <w:p>
      <w:pPr>
        <w:spacing w:after="120"/>
      </w:pPr>
    </w:p>
    <w:p>
      <w:pPr>
        <w:spacing w:before="80" w:after="20"/>
      </w:pPr>
      <w:r>
        <w:rPr>
          <w:b/>
          <w:color w:val="1F6F78"/>
          <w:sz w:val="21"/>
        </w:rPr>
        <w:t>Description</w:t>
      </w:r>
    </w:p>
    <w:p>
      <w:pPr>
        <w:spacing w:after="120"/>
      </w:pPr>
      <w:r>
        <w:rPr>
          <w:i w:val="0"/>
        </w:rPr>
        <w:t>Un module pour les indépendants et dirigeants : valeur de la société, parts détenues, compte courant d'associé, dividendes, rémunération, fiscalité prévisionnelle, trésorerie personnelle versus professionnelle, et scénarios (« si je me verse X € par mois »). Il reste un outil de pilotage personnel, pas une comptabilité légale.</w:t>
      </w:r>
    </w:p>
    <w:p>
      <w:pPr>
        <w:spacing w:before="80" w:after="20"/>
      </w:pPr>
      <w:r>
        <w:rPr>
          <w:b/>
          <w:color w:val="1F6F78"/>
          <w:sz w:val="21"/>
        </w:rPr>
        <w:t>Valeur métier</w:t>
      </w:r>
    </w:p>
    <w:p>
      <w:pPr>
        <w:spacing w:after="120"/>
      </w:pPr>
      <w:r>
        <w:rPr>
          <w:i w:val="0"/>
        </w:rPr>
        <w:t>Étend Opale aux patrimoines professionnels, fréquents chez les entrepreneurs.</w:t>
      </w:r>
    </w:p>
    <w:p>
      <w:pPr>
        <w:spacing w:before="80" w:after="20"/>
      </w:pPr>
      <w:r>
        <w:rPr>
          <w:b/>
          <w:color w:val="1F6F78"/>
          <w:sz w:val="21"/>
        </w:rPr>
        <w:t>Histoires utilisateur</w:t>
      </w:r>
    </w:p>
    <w:p>
      <w:pPr>
        <w:pStyle w:val="ListBullet"/>
        <w:spacing w:after="40"/>
      </w:pPr>
      <w:r>
        <w:t>En tant que dirigeant, je veux suivre la valeur de mes parts et mon compte courant d'associé.</w:t>
      </w:r>
    </w:p>
    <w:p>
      <w:pPr>
        <w:pStyle w:val="ListBullet"/>
        <w:spacing w:after="40"/>
      </w:pPr>
      <w:r>
        <w:t>En tant que dirigeant, je veux simuler l'impact d'une hausse de ma rémunération.</w:t>
      </w:r>
    </w:p>
    <w:p>
      <w:pPr>
        <w:spacing w:before="80" w:after="20"/>
      </w:pPr>
      <w:r>
        <w:rPr>
          <w:b/>
          <w:color w:val="1F6F78"/>
          <w:sz w:val="21"/>
        </w:rPr>
        <w:t>Règles de gestion</w:t>
      </w:r>
    </w:p>
    <w:p>
      <w:pPr>
        <w:pStyle w:val="ListBullet"/>
        <w:spacing w:after="40"/>
      </w:pPr>
      <w:r>
        <w:t>La valeur des parts et le compte courant d'associé sont suivis comme des actifs.</w:t>
      </w:r>
    </w:p>
    <w:p>
      <w:pPr>
        <w:pStyle w:val="ListBullet"/>
        <w:spacing w:after="40"/>
      </w:pPr>
      <w:r>
        <w:t>Les scénarios de rémunération passent par le moteur déterministe.</w:t>
      </w:r>
    </w:p>
    <w:p>
      <w:pPr>
        <w:pStyle w:val="ListBullet"/>
        <w:spacing w:after="40"/>
      </w:pPr>
      <w:r>
        <w:t>Le module ne tient pas lieu de comptabilité officielle.</w:t>
      </w:r>
    </w:p>
    <w:p>
      <w:pPr>
        <w:spacing w:before="80" w:after="20"/>
      </w:pPr>
      <w:r>
        <w:rPr>
          <w:b/>
          <w:color w:val="1F6F78"/>
          <w:sz w:val="21"/>
        </w:rPr>
        <w:t>Données &amp; calculs</w:t>
      </w:r>
    </w:p>
    <w:p>
      <w:pPr>
        <w:spacing w:after="120"/>
      </w:pPr>
      <w:r>
        <w:rPr>
          <w:i w:val="0"/>
        </w:rPr>
        <w:t>Actifs professionnels (parts, CCA) ; paramètres de rémunération et fiscalité.</w:t>
      </w:r>
    </w:p>
    <w:p>
      <w:pPr>
        <w:spacing w:before="80" w:after="20"/>
      </w:pPr>
      <w:r>
        <w:rPr>
          <w:b/>
          <w:color w:val="1F6F78"/>
          <w:sz w:val="21"/>
        </w:rPr>
        <w:t>Critères d'acceptation</w:t>
      </w:r>
    </w:p>
    <w:p>
      <w:pPr>
        <w:pStyle w:val="ListBullet"/>
        <w:spacing w:after="40"/>
      </w:pPr>
      <w:r>
        <w:t>Les éléments professionnels sont intégrés au patrimoine.</w:t>
      </w:r>
    </w:p>
    <w:p>
      <w:pPr>
        <w:pStyle w:val="ListBullet"/>
        <w:spacing w:after="40"/>
      </w:pPr>
      <w:r>
        <w:t>Un scénario de rémunération produit des impacts chiffrés cohérents.</w:t>
      </w:r>
    </w:p>
    <w:p>
      <w:pPr>
        <w:spacing w:after="160"/>
      </w:pPr>
    </w:p>
    <w:p>
      <w:pPr>
        <w:pStyle w:val="Heading2"/>
      </w:pPr>
      <w:r>
        <w:t>7.5 Onglet Projection</w:t>
      </w:r>
    </w:p>
    <w:p>
      <w:pPr>
        <w:spacing w:after="120"/>
      </w:pPr>
      <w:r>
        <w:rPr>
          <w:i/>
          <w:color w:val="5B6670"/>
        </w:rPr>
        <w:t>Le futur : indépendance financière, simulations, objectifs, euros constants, comparaison de scénarios et timeline patrimoniale.</w:t>
      </w:r>
    </w:p>
    <w:p>
      <w:pPr>
        <w:pStyle w:val="Heading3"/>
      </w:pPr>
      <w:r>
        <w:t>EF-040 — Date d'indépendance financière (FIRE)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M — Must (indispensable)</w:t>
            </w:r>
          </w:p>
        </w:tc>
        <w:tc>
          <w:tcPr>
            <w:tcW w:type="dxa" w:w="1361"/>
            <w:tcMar>
              <w:top w:w="60" w:type="dxa"/>
              <w:bottom w:w="60" w:type="dxa"/>
              <w:start w:w="100" w:type="dxa"/>
              <w:end w:w="100" w:type="dxa"/>
            </w:tcMar>
          </w:tcPr>
          <w:p>
            <w:r/>
            <w:r>
              <w:rPr>
                <w:rFonts w:ascii="Calibri" w:hAnsi="Calibri"/>
                <w:b w:val="0"/>
                <w:sz w:val="19"/>
              </w:rPr>
              <w:t>P2</w:t>
            </w:r>
          </w:p>
        </w:tc>
        <w:tc>
          <w:tcPr>
            <w:tcW w:type="dxa" w:w="2608"/>
            <w:tcMar>
              <w:top w:w="60" w:type="dxa"/>
              <w:bottom w:w="60" w:type="dxa"/>
              <w:start w:w="100" w:type="dxa"/>
              <w:end w:w="100" w:type="dxa"/>
            </w:tcMar>
          </w:tcPr>
          <w:p>
            <w:r/>
            <w:r>
              <w:rPr>
                <w:rFonts w:ascii="Calibri" w:hAnsi="Calibri"/>
                <w:b w:val="0"/>
                <w:sz w:val="19"/>
              </w:rPr>
              <w:t>Projection</w:t>
            </w:r>
          </w:p>
        </w:tc>
        <w:tc>
          <w:tcPr>
            <w:tcW w:type="dxa" w:w="2268"/>
            <w:tcMar>
              <w:top w:w="60" w:type="dxa"/>
              <w:bottom w:w="60" w:type="dxa"/>
              <w:start w:w="100" w:type="dxa"/>
              <w:end w:w="100" w:type="dxa"/>
            </w:tcMar>
          </w:tcPr>
          <w:p>
            <w:r/>
            <w:r>
              <w:rPr>
                <w:rFonts w:ascii="Calibri" w:hAnsi="Calibri"/>
                <w:b w:val="0"/>
                <w:sz w:val="19"/>
              </w:rPr>
              <w:t>N2</w:t>
            </w:r>
          </w:p>
        </w:tc>
      </w:tr>
    </w:tbl>
    <w:p>
      <w:pPr>
        <w:spacing w:after="120"/>
      </w:pPr>
    </w:p>
    <w:p>
      <w:pPr>
        <w:spacing w:before="80" w:after="20"/>
      </w:pPr>
      <w:r>
        <w:rPr>
          <w:b/>
          <w:color w:val="1F6F78"/>
          <w:sz w:val="21"/>
        </w:rPr>
        <w:t>Description</w:t>
      </w:r>
    </w:p>
    <w:p>
      <w:pPr>
        <w:spacing w:after="120"/>
      </w:pPr>
      <w:r>
        <w:rPr>
          <w:i w:val="0"/>
        </w:rPr>
        <w:t>L'app calcule et affiche la date estimée d'indépendance financière : le moment où les revenus du patrimoine couvrent durablement les besoins de l'utilisateur. Le calcul repose sur le patrimoine actuel, le taux d'épargne, un rendement attendu et un taux de retrait soutenable. Le résultat est présenté de façon désirable (« libre à 47 ans »).</w:t>
      </w:r>
    </w:p>
    <w:p>
      <w:pPr>
        <w:spacing w:before="80" w:after="20"/>
      </w:pPr>
      <w:r>
        <w:rPr>
          <w:b/>
          <w:color w:val="1F6F78"/>
          <w:sz w:val="21"/>
        </w:rPr>
        <w:t>Valeur métier</w:t>
      </w:r>
    </w:p>
    <w:p>
      <w:pPr>
        <w:spacing w:after="120"/>
      </w:pPr>
      <w:r>
        <w:rPr>
          <w:i w:val="0"/>
        </w:rPr>
        <w:t>Constitue le hook addictif du produit : un chiffre unique, motivant, qui matérialise l'objectif de long terme.</w:t>
      </w:r>
    </w:p>
    <w:p>
      <w:pPr>
        <w:spacing w:before="80" w:after="20"/>
      </w:pPr>
      <w:r>
        <w:rPr>
          <w:b/>
          <w:color w:val="1F6F78"/>
          <w:sz w:val="21"/>
        </w:rPr>
        <w:t>Histoires utilisateur</w:t>
      </w:r>
    </w:p>
    <w:p>
      <w:pPr>
        <w:pStyle w:val="ListBullet"/>
        <w:spacing w:after="40"/>
      </w:pPr>
      <w:r>
        <w:t>En tant qu'utilisateur, je veux savoir à quel âge je pourrais être financièrement indépendant.</w:t>
      </w:r>
    </w:p>
    <w:p>
      <w:pPr>
        <w:pStyle w:val="ListBullet"/>
        <w:spacing w:after="40"/>
      </w:pPr>
      <w:r>
        <w:t>En tant qu'utilisateur, je veux voir comment mes efforts d'épargne rapprochent cette date.</w:t>
      </w:r>
    </w:p>
    <w:p>
      <w:pPr>
        <w:spacing w:before="80" w:after="20"/>
      </w:pPr>
      <w:r>
        <w:rPr>
          <w:b/>
          <w:color w:val="1F6F78"/>
          <w:sz w:val="21"/>
        </w:rPr>
        <w:t>Règles de gestion</w:t>
      </w:r>
    </w:p>
    <w:p>
      <w:pPr>
        <w:pStyle w:val="ListBullet"/>
        <w:spacing w:after="40"/>
      </w:pPr>
      <w:r>
        <w:t>Le calcul intègre patrimoine, épargne mensuelle, rendement et taux de retrait soutenable.</w:t>
      </w:r>
    </w:p>
    <w:p>
      <w:pPr>
        <w:pStyle w:val="ListBullet"/>
        <w:spacing w:after="40"/>
      </w:pPr>
      <w:r>
        <w:t>Les hypothèses sont explicites et modifiables.</w:t>
      </w:r>
    </w:p>
    <w:p>
      <w:pPr>
        <w:pStyle w:val="ListBullet"/>
        <w:spacing w:after="40"/>
      </w:pPr>
      <w:r>
        <w:t>Le calcul est déterministe ; l'IA n'invente aucun chiffre.</w:t>
      </w:r>
    </w:p>
    <w:p>
      <w:pPr>
        <w:spacing w:before="80" w:after="20"/>
      </w:pPr>
      <w:r>
        <w:rPr>
          <w:b/>
          <w:color w:val="1F6F78"/>
          <w:sz w:val="21"/>
        </w:rPr>
        <w:t>Données &amp; calculs</w:t>
      </w:r>
    </w:p>
    <w:p>
      <w:pPr>
        <w:spacing w:after="120"/>
      </w:pPr>
      <w:r>
        <w:rPr>
          <w:i w:val="0"/>
        </w:rPr>
        <w:t>Patrimoine net ; taux d'épargne ; hypothèses de rendement et de retrait.</w:t>
      </w:r>
    </w:p>
    <w:p>
      <w:pPr>
        <w:spacing w:before="80" w:after="20"/>
      </w:pPr>
      <w:r>
        <w:rPr>
          <w:b/>
          <w:color w:val="1F6F78"/>
          <w:sz w:val="21"/>
        </w:rPr>
        <w:t>Critères d'acceptation</w:t>
      </w:r>
    </w:p>
    <w:p>
      <w:pPr>
        <w:pStyle w:val="ListBullet"/>
        <w:spacing w:after="40"/>
      </w:pPr>
      <w:r>
        <w:t>La date d'indépendance est cohérente avec les hypothèses saisies.</w:t>
      </w:r>
    </w:p>
    <w:p>
      <w:pPr>
        <w:pStyle w:val="ListBullet"/>
        <w:spacing w:after="40"/>
      </w:pPr>
      <w:r>
        <w:t>Une variation d'épargne déplace la date de façon cohérente.</w:t>
      </w:r>
    </w:p>
    <w:p>
      <w:pPr>
        <w:spacing w:after="160"/>
      </w:pPr>
    </w:p>
    <w:p>
      <w:pPr>
        <w:pStyle w:val="Heading3"/>
      </w:pPr>
      <w:r>
        <w:t>EF-041 — Simulateur d'épargne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M — Must (indispensable)</w:t>
            </w:r>
          </w:p>
        </w:tc>
        <w:tc>
          <w:tcPr>
            <w:tcW w:type="dxa" w:w="1361"/>
            <w:tcMar>
              <w:top w:w="60" w:type="dxa"/>
              <w:bottom w:w="60" w:type="dxa"/>
              <w:start w:w="100" w:type="dxa"/>
              <w:end w:w="100" w:type="dxa"/>
            </w:tcMar>
          </w:tcPr>
          <w:p>
            <w:r/>
            <w:r>
              <w:rPr>
                <w:rFonts w:ascii="Calibri" w:hAnsi="Calibri"/>
                <w:b w:val="0"/>
                <w:sz w:val="19"/>
              </w:rPr>
              <w:t>P2</w:t>
            </w:r>
          </w:p>
        </w:tc>
        <w:tc>
          <w:tcPr>
            <w:tcW w:type="dxa" w:w="2608"/>
            <w:tcMar>
              <w:top w:w="60" w:type="dxa"/>
              <w:bottom w:w="60" w:type="dxa"/>
              <w:start w:w="100" w:type="dxa"/>
              <w:end w:w="100" w:type="dxa"/>
            </w:tcMar>
          </w:tcPr>
          <w:p>
            <w:r/>
            <w:r>
              <w:rPr>
                <w:rFonts w:ascii="Calibri" w:hAnsi="Calibri"/>
                <w:b w:val="0"/>
                <w:sz w:val="19"/>
              </w:rPr>
              <w:t>Projection</w:t>
            </w:r>
          </w:p>
        </w:tc>
        <w:tc>
          <w:tcPr>
            <w:tcW w:type="dxa" w:w="2268"/>
            <w:tcMar>
              <w:top w:w="60" w:type="dxa"/>
              <w:bottom w:w="60" w:type="dxa"/>
              <w:start w:w="100" w:type="dxa"/>
              <w:end w:w="100" w:type="dxa"/>
            </w:tcMar>
          </w:tcPr>
          <w:p>
            <w:r/>
            <w:r>
              <w:rPr>
                <w:rFonts w:ascii="Calibri" w:hAnsi="Calibri"/>
                <w:b w:val="0"/>
                <w:sz w:val="19"/>
              </w:rPr>
              <w:t>N2</w:t>
            </w:r>
          </w:p>
        </w:tc>
      </w:tr>
    </w:tbl>
    <w:p>
      <w:pPr>
        <w:spacing w:after="120"/>
      </w:pPr>
    </w:p>
    <w:p>
      <w:pPr>
        <w:spacing w:before="80" w:after="20"/>
      </w:pPr>
      <w:r>
        <w:rPr>
          <w:b/>
          <w:color w:val="1F6F78"/>
          <w:sz w:val="21"/>
        </w:rPr>
        <w:t>Description</w:t>
      </w:r>
    </w:p>
    <w:p>
      <w:pPr>
        <w:spacing w:after="120"/>
      </w:pPr>
      <w:r>
        <w:rPr>
          <w:i w:val="0"/>
        </w:rPr>
        <w:t>Un simulateur répond à « si j'épargne X € par mois, combien aurai-je dans N années ? ». Il projette la croissance du patrimoine selon un montant d'épargne mensuel et un rendement annuel, et affiche des jalons intermédiaires (5, 10, 20 ans). Les projections sont déterministes et instantanément recalculées au changement de paramètre.</w:t>
      </w:r>
    </w:p>
    <w:p>
      <w:pPr>
        <w:spacing w:before="80" w:after="20"/>
      </w:pPr>
      <w:r>
        <w:rPr>
          <w:b/>
          <w:color w:val="1F6F78"/>
          <w:sz w:val="21"/>
        </w:rPr>
        <w:t>Valeur métier</w:t>
      </w:r>
    </w:p>
    <w:p>
      <w:pPr>
        <w:spacing w:after="120"/>
      </w:pPr>
      <w:r>
        <w:rPr>
          <w:i w:val="0"/>
        </w:rPr>
        <w:t>Rend tangible l'effet de l'épargne et de la capitalisation, et soutient la prise de décision.</w:t>
      </w:r>
    </w:p>
    <w:p>
      <w:pPr>
        <w:spacing w:before="80" w:after="20"/>
      </w:pPr>
      <w:r>
        <w:rPr>
          <w:b/>
          <w:color w:val="1F6F78"/>
          <w:sz w:val="21"/>
        </w:rPr>
        <w:t>Histoires utilisateur</w:t>
      </w:r>
    </w:p>
    <w:p>
      <w:pPr>
        <w:pStyle w:val="ListBullet"/>
        <w:spacing w:after="40"/>
      </w:pPr>
      <w:r>
        <w:t>En tant qu'utilisateur, je veux simuler mon patrimoine futur selon mon effort d'épargne.</w:t>
      </w:r>
    </w:p>
    <w:p>
      <w:pPr>
        <w:spacing w:before="80" w:after="20"/>
      </w:pPr>
      <w:r>
        <w:rPr>
          <w:b/>
          <w:color w:val="1F6F78"/>
          <w:sz w:val="21"/>
        </w:rPr>
        <w:t>Règles de gestion</w:t>
      </w:r>
    </w:p>
    <w:p>
      <w:pPr>
        <w:pStyle w:val="ListBullet"/>
        <w:spacing w:after="40"/>
      </w:pPr>
      <w:r>
        <w:t>La projection applique une capitalisation périodique déterministe.</w:t>
      </w:r>
    </w:p>
    <w:p>
      <w:pPr>
        <w:pStyle w:val="ListBullet"/>
        <w:spacing w:after="40"/>
      </w:pPr>
      <w:r>
        <w:t>Les paramètres (montant mensuel, rendement, horizon) sont ajustables en direct.</w:t>
      </w:r>
    </w:p>
    <w:p>
      <w:pPr>
        <w:pStyle w:val="ListBullet"/>
        <w:spacing w:after="40"/>
      </w:pPr>
      <w:r>
        <w:t>Les montants sont en centimes ; pas de flottant pour les valeurs financières affichées.</w:t>
      </w:r>
    </w:p>
    <w:p>
      <w:pPr>
        <w:spacing w:before="80" w:after="20"/>
      </w:pPr>
      <w:r>
        <w:rPr>
          <w:b/>
          <w:color w:val="1F6F78"/>
          <w:sz w:val="21"/>
        </w:rPr>
        <w:t>Données &amp; calculs</w:t>
      </w:r>
    </w:p>
    <w:p>
      <w:pPr>
        <w:spacing w:after="120"/>
      </w:pPr>
      <w:r>
        <w:rPr>
          <w:i w:val="0"/>
        </w:rPr>
        <w:t>Montant d'épargne mensuel ; rendement annuel ; horizon ; patrimoine de départ.</w:t>
      </w:r>
    </w:p>
    <w:p>
      <w:pPr>
        <w:spacing w:before="80" w:after="20"/>
      </w:pPr>
      <w:r>
        <w:rPr>
          <w:b/>
          <w:color w:val="1F6F78"/>
          <w:sz w:val="21"/>
        </w:rPr>
        <w:t>Critères d'acceptation</w:t>
      </w:r>
    </w:p>
    <w:p>
      <w:pPr>
        <w:pStyle w:val="ListBullet"/>
        <w:spacing w:after="40"/>
      </w:pPr>
      <w:r>
        <w:t>La projection à N années est cohérente avec les paramètres.</w:t>
      </w:r>
    </w:p>
    <w:p>
      <w:pPr>
        <w:pStyle w:val="ListBullet"/>
        <w:spacing w:after="40"/>
      </w:pPr>
      <w:r>
        <w:t>Le changement de paramètre recalcule instantanément la projection.</w:t>
      </w:r>
    </w:p>
    <w:p>
      <w:pPr>
        <w:spacing w:after="160"/>
      </w:pPr>
    </w:p>
    <w:p>
      <w:pPr>
        <w:pStyle w:val="Heading3"/>
      </w:pPr>
      <w:r>
        <w:t>EF-042 — Objectifs intelligents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S — Should (important)</w:t>
            </w:r>
          </w:p>
        </w:tc>
        <w:tc>
          <w:tcPr>
            <w:tcW w:type="dxa" w:w="1361"/>
            <w:tcMar>
              <w:top w:w="60" w:type="dxa"/>
              <w:bottom w:w="60" w:type="dxa"/>
              <w:start w:w="100" w:type="dxa"/>
              <w:end w:w="100" w:type="dxa"/>
            </w:tcMar>
          </w:tcPr>
          <w:p>
            <w:r/>
            <w:r>
              <w:rPr>
                <w:rFonts w:ascii="Calibri" w:hAnsi="Calibri"/>
                <w:b w:val="0"/>
                <w:sz w:val="19"/>
              </w:rPr>
              <w:t>P4</w:t>
            </w:r>
          </w:p>
        </w:tc>
        <w:tc>
          <w:tcPr>
            <w:tcW w:type="dxa" w:w="2608"/>
            <w:tcMar>
              <w:top w:w="60" w:type="dxa"/>
              <w:bottom w:w="60" w:type="dxa"/>
              <w:start w:w="100" w:type="dxa"/>
              <w:end w:w="100" w:type="dxa"/>
            </w:tcMar>
          </w:tcPr>
          <w:p>
            <w:r/>
            <w:r>
              <w:rPr>
                <w:rFonts w:ascii="Calibri" w:hAnsi="Calibri"/>
                <w:b w:val="0"/>
                <w:sz w:val="19"/>
              </w:rPr>
              <w:t>Projection</w:t>
            </w:r>
          </w:p>
        </w:tc>
        <w:tc>
          <w:tcPr>
            <w:tcW w:type="dxa" w:w="2268"/>
            <w:tcMar>
              <w:top w:w="60" w:type="dxa"/>
              <w:bottom w:w="60" w:type="dxa"/>
              <w:start w:w="100" w:type="dxa"/>
              <w:end w:w="100" w:type="dxa"/>
            </w:tcMar>
          </w:tcPr>
          <w:p>
            <w:r/>
            <w:r>
              <w:rPr>
                <w:rFonts w:ascii="Calibri" w:hAnsi="Calibri"/>
                <w:b w:val="0"/>
                <w:sz w:val="19"/>
              </w:rPr>
              <w:t>N2</w:t>
            </w:r>
          </w:p>
        </w:tc>
      </w:tr>
    </w:tbl>
    <w:p>
      <w:pPr>
        <w:spacing w:after="120"/>
      </w:pPr>
    </w:p>
    <w:p>
      <w:pPr>
        <w:spacing w:before="80" w:after="20"/>
      </w:pPr>
      <w:r>
        <w:rPr>
          <w:b/>
          <w:color w:val="1F6F78"/>
          <w:sz w:val="21"/>
        </w:rPr>
        <w:t>Description</w:t>
      </w:r>
    </w:p>
    <w:p>
      <w:pPr>
        <w:spacing w:after="120"/>
      </w:pPr>
      <w:r>
        <w:rPr>
          <w:i w:val="0"/>
        </w:rPr>
        <w:t>L'utilisateur définit des objectifs de vie (résidence principale, voyage, voiture, création d'entreprise, retraite). Pour chacun, l'app calcule la date prévue d'atteinte, l'avance ou le retard par rapport au plan, et le montant restant. Les objectifs se nourrissent du patrimoine et du taux d'épargne réels.</w:t>
      </w:r>
    </w:p>
    <w:p>
      <w:pPr>
        <w:spacing w:before="80" w:after="20"/>
      </w:pPr>
      <w:r>
        <w:rPr>
          <w:b/>
          <w:color w:val="1F6F78"/>
          <w:sz w:val="21"/>
        </w:rPr>
        <w:t>Valeur métier</w:t>
      </w:r>
    </w:p>
    <w:p>
      <w:pPr>
        <w:spacing w:after="120"/>
      </w:pPr>
      <w:r>
        <w:rPr>
          <w:i w:val="0"/>
        </w:rPr>
        <w:t>Transforme des envies en plans chiffrés et suivis, avec un feedback d'avancement motivant.</w:t>
      </w:r>
    </w:p>
    <w:p>
      <w:pPr>
        <w:spacing w:before="80" w:after="20"/>
      </w:pPr>
      <w:r>
        <w:rPr>
          <w:b/>
          <w:color w:val="1F6F78"/>
          <w:sz w:val="21"/>
        </w:rPr>
        <w:t>Histoires utilisateur</w:t>
      </w:r>
    </w:p>
    <w:p>
      <w:pPr>
        <w:pStyle w:val="ListBullet"/>
        <w:spacing w:after="40"/>
      </w:pPr>
      <w:r>
        <w:t>En tant qu'utilisateur, je veux fixer un objectif d'apport immobilier et savoir quand je l'atteindrai.</w:t>
      </w:r>
    </w:p>
    <w:p>
      <w:pPr>
        <w:pStyle w:val="ListBullet"/>
        <w:spacing w:after="40"/>
      </w:pPr>
      <w:r>
        <w:t>En tant qu'utilisateur, je veux savoir si je suis en avance ou en retard.</w:t>
      </w:r>
    </w:p>
    <w:p>
      <w:pPr>
        <w:spacing w:before="80" w:after="20"/>
      </w:pPr>
      <w:r>
        <w:rPr>
          <w:b/>
          <w:color w:val="1F6F78"/>
          <w:sz w:val="21"/>
        </w:rPr>
        <w:t>Règles de gestion</w:t>
      </w:r>
    </w:p>
    <w:p>
      <w:pPr>
        <w:pStyle w:val="ListBullet"/>
        <w:spacing w:after="40"/>
      </w:pPr>
      <w:r>
        <w:t>Chaque objectif porte un montant cible, une échéance souhaitée et une priorité.</w:t>
      </w:r>
    </w:p>
    <w:p>
      <w:pPr>
        <w:pStyle w:val="ListBullet"/>
        <w:spacing w:after="40"/>
      </w:pPr>
      <w:r>
        <w:t>La date prévue et l'écart au plan sont calculés de façon déterministe.</w:t>
      </w:r>
    </w:p>
    <w:p>
      <w:pPr>
        <w:pStyle w:val="ListBullet"/>
        <w:spacing w:after="40"/>
      </w:pPr>
      <w:r>
        <w:t>Les objectifs partagent la capacité d'épargne disponible.</w:t>
      </w:r>
    </w:p>
    <w:p>
      <w:pPr>
        <w:spacing w:before="80" w:after="20"/>
      </w:pPr>
      <w:r>
        <w:rPr>
          <w:b/>
          <w:color w:val="1F6F78"/>
          <w:sz w:val="21"/>
        </w:rPr>
        <w:t>Données &amp; calculs</w:t>
      </w:r>
    </w:p>
    <w:p>
      <w:pPr>
        <w:spacing w:after="120"/>
      </w:pPr>
      <w:r>
        <w:rPr>
          <w:i w:val="0"/>
        </w:rPr>
        <w:t>Entité Goal (montant cible, échéance, priorité) ; lien au taux d'épargne et au patrimoine.</w:t>
      </w:r>
    </w:p>
    <w:p>
      <w:pPr>
        <w:spacing w:before="80" w:after="20"/>
      </w:pPr>
      <w:r>
        <w:rPr>
          <w:b/>
          <w:color w:val="1F6F78"/>
          <w:sz w:val="21"/>
        </w:rPr>
        <w:t>Critères d'acceptation</w:t>
      </w:r>
    </w:p>
    <w:p>
      <w:pPr>
        <w:pStyle w:val="ListBullet"/>
        <w:spacing w:after="40"/>
      </w:pPr>
      <w:r>
        <w:t>La date prévue d'un objectif est cohérente avec l'épargne affectée.</w:t>
      </w:r>
    </w:p>
    <w:p>
      <w:pPr>
        <w:pStyle w:val="ListBullet"/>
        <w:spacing w:after="40"/>
      </w:pPr>
      <w:r>
        <w:t>L'avance/retard est calculé correctement.</w:t>
      </w:r>
    </w:p>
    <w:p>
      <w:pPr>
        <w:spacing w:after="160"/>
      </w:pPr>
    </w:p>
    <w:p>
      <w:pPr>
        <w:pStyle w:val="Heading3"/>
      </w:pPr>
      <w:r>
        <w:t>EF-043 — Projections en euros constants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C — Could (souhaitable)</w:t>
            </w:r>
          </w:p>
        </w:tc>
        <w:tc>
          <w:tcPr>
            <w:tcW w:type="dxa" w:w="1361"/>
            <w:tcMar>
              <w:top w:w="60" w:type="dxa"/>
              <w:bottom w:w="60" w:type="dxa"/>
              <w:start w:w="100" w:type="dxa"/>
              <w:end w:w="100" w:type="dxa"/>
            </w:tcMar>
          </w:tcPr>
          <w:p>
            <w:r/>
            <w:r>
              <w:rPr>
                <w:rFonts w:ascii="Calibri" w:hAnsi="Calibri"/>
                <w:b w:val="0"/>
                <w:sz w:val="19"/>
              </w:rPr>
              <w:t>P4</w:t>
            </w:r>
          </w:p>
        </w:tc>
        <w:tc>
          <w:tcPr>
            <w:tcW w:type="dxa" w:w="2608"/>
            <w:tcMar>
              <w:top w:w="60" w:type="dxa"/>
              <w:bottom w:w="60" w:type="dxa"/>
              <w:start w:w="100" w:type="dxa"/>
              <w:end w:w="100" w:type="dxa"/>
            </w:tcMar>
          </w:tcPr>
          <w:p>
            <w:r/>
            <w:r>
              <w:rPr>
                <w:rFonts w:ascii="Calibri" w:hAnsi="Calibri"/>
                <w:b w:val="0"/>
                <w:sz w:val="19"/>
              </w:rPr>
              <w:t>Projection</w:t>
            </w:r>
          </w:p>
        </w:tc>
        <w:tc>
          <w:tcPr>
            <w:tcW w:type="dxa" w:w="2268"/>
            <w:tcMar>
              <w:top w:w="60" w:type="dxa"/>
              <w:bottom w:w="60" w:type="dxa"/>
              <w:start w:w="100" w:type="dxa"/>
              <w:end w:w="100" w:type="dxa"/>
            </w:tcMar>
          </w:tcPr>
          <w:p>
            <w:r/>
            <w:r>
              <w:rPr>
                <w:rFonts w:ascii="Calibri" w:hAnsi="Calibri"/>
                <w:b w:val="0"/>
                <w:sz w:val="19"/>
              </w:rPr>
              <w:t>N2</w:t>
            </w:r>
          </w:p>
        </w:tc>
      </w:tr>
    </w:tbl>
    <w:p>
      <w:pPr>
        <w:spacing w:after="120"/>
      </w:pPr>
    </w:p>
    <w:p>
      <w:pPr>
        <w:spacing w:before="80" w:after="20"/>
      </w:pPr>
      <w:r>
        <w:rPr>
          <w:b/>
          <w:color w:val="1F6F78"/>
          <w:sz w:val="21"/>
        </w:rPr>
        <w:t>Description</w:t>
      </w:r>
    </w:p>
    <w:p>
      <w:pPr>
        <w:spacing w:after="120"/>
      </w:pPr>
      <w:r>
        <w:rPr>
          <w:i w:val="0"/>
        </w:rPr>
        <w:t>Les projections peuvent être affichées en euros constants, c'est-à-dire corrigées de l'inflation, afin de représenter le pouvoir d'achat réel futur plutôt que des montants nominaux trompeurs. Un taux d'inflation paramétrable est appliqué de façon déterministe.</w:t>
      </w:r>
    </w:p>
    <w:p>
      <w:pPr>
        <w:spacing w:before="80" w:after="20"/>
      </w:pPr>
      <w:r>
        <w:rPr>
          <w:b/>
          <w:color w:val="1F6F78"/>
          <w:sz w:val="21"/>
        </w:rPr>
        <w:t>Valeur métier</w:t>
      </w:r>
    </w:p>
    <w:p>
      <w:pPr>
        <w:spacing w:after="120"/>
      </w:pPr>
      <w:r>
        <w:rPr>
          <w:i w:val="0"/>
        </w:rPr>
        <w:t>Évite l'illusion monétaire et donne une lecture honnête de la valeur future.</w:t>
      </w:r>
    </w:p>
    <w:p>
      <w:pPr>
        <w:spacing w:before="80" w:after="20"/>
      </w:pPr>
      <w:r>
        <w:rPr>
          <w:b/>
          <w:color w:val="1F6F78"/>
          <w:sz w:val="21"/>
        </w:rPr>
        <w:t>Histoires utilisateur</w:t>
      </w:r>
    </w:p>
    <w:p>
      <w:pPr>
        <w:pStyle w:val="ListBullet"/>
        <w:spacing w:after="40"/>
      </w:pPr>
      <w:r>
        <w:t>En tant qu'utilisateur, je veux voir mon patrimoine futur en pouvoir d'achat d'aujourd'hui.</w:t>
      </w:r>
    </w:p>
    <w:p>
      <w:pPr>
        <w:spacing w:before="80" w:after="20"/>
      </w:pPr>
      <w:r>
        <w:rPr>
          <w:b/>
          <w:color w:val="1F6F78"/>
          <w:sz w:val="21"/>
        </w:rPr>
        <w:t>Règles de gestion</w:t>
      </w:r>
    </w:p>
    <w:p>
      <w:pPr>
        <w:pStyle w:val="ListBullet"/>
        <w:spacing w:after="40"/>
      </w:pPr>
      <w:r>
        <w:t>Un taux d'inflation paramétrable est appliqué aux projections.</w:t>
      </w:r>
    </w:p>
    <w:p>
      <w:pPr>
        <w:pStyle w:val="ListBullet"/>
        <w:spacing w:after="40"/>
      </w:pPr>
      <w:r>
        <w:t>L'utilisateur bascule entre euros courants et euros constants.</w:t>
      </w:r>
    </w:p>
    <w:p>
      <w:pPr>
        <w:pStyle w:val="ListBullet"/>
        <w:spacing w:after="40"/>
      </w:pPr>
      <w:r>
        <w:t>Le calcul est déterministe.</w:t>
      </w:r>
    </w:p>
    <w:p>
      <w:pPr>
        <w:spacing w:before="80" w:after="20"/>
      </w:pPr>
      <w:r>
        <w:rPr>
          <w:b/>
          <w:color w:val="1F6F78"/>
          <w:sz w:val="21"/>
        </w:rPr>
        <w:t>Données &amp; calculs</w:t>
      </w:r>
    </w:p>
    <w:p>
      <w:pPr>
        <w:spacing w:after="120"/>
      </w:pPr>
      <w:r>
        <w:rPr>
          <w:i w:val="0"/>
        </w:rPr>
        <w:t>Taux d'inflation ; projections nominales à convertir.</w:t>
      </w:r>
    </w:p>
    <w:p>
      <w:pPr>
        <w:spacing w:before="80" w:after="20"/>
      </w:pPr>
      <w:r>
        <w:rPr>
          <w:b/>
          <w:color w:val="1F6F78"/>
          <w:sz w:val="21"/>
        </w:rPr>
        <w:t>Critères d'acceptation</w:t>
      </w:r>
    </w:p>
    <w:p>
      <w:pPr>
        <w:pStyle w:val="ListBullet"/>
        <w:spacing w:after="40"/>
      </w:pPr>
      <w:r>
        <w:t>Les projections en euros constants sont cohérentes avec le taux d'inflation choisi.</w:t>
      </w:r>
    </w:p>
    <w:p>
      <w:pPr>
        <w:spacing w:after="160"/>
      </w:pPr>
    </w:p>
    <w:p>
      <w:pPr>
        <w:pStyle w:val="Heading3"/>
      </w:pPr>
      <w:r>
        <w:t>EF-044 — Comparateur de scénarios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C — Could (souhaitable)</w:t>
            </w:r>
          </w:p>
        </w:tc>
        <w:tc>
          <w:tcPr>
            <w:tcW w:type="dxa" w:w="1361"/>
            <w:tcMar>
              <w:top w:w="60" w:type="dxa"/>
              <w:bottom w:w="60" w:type="dxa"/>
              <w:start w:w="100" w:type="dxa"/>
              <w:end w:w="100" w:type="dxa"/>
            </w:tcMar>
          </w:tcPr>
          <w:p>
            <w:r/>
            <w:r>
              <w:rPr>
                <w:rFonts w:ascii="Calibri" w:hAnsi="Calibri"/>
                <w:b w:val="0"/>
                <w:sz w:val="19"/>
              </w:rPr>
              <w:t>P7</w:t>
            </w:r>
          </w:p>
        </w:tc>
        <w:tc>
          <w:tcPr>
            <w:tcW w:type="dxa" w:w="2608"/>
            <w:tcMar>
              <w:top w:w="60" w:type="dxa"/>
              <w:bottom w:w="60" w:type="dxa"/>
              <w:start w:w="100" w:type="dxa"/>
              <w:end w:w="100" w:type="dxa"/>
            </w:tcMar>
          </w:tcPr>
          <w:p>
            <w:r/>
            <w:r>
              <w:rPr>
                <w:rFonts w:ascii="Calibri" w:hAnsi="Calibri"/>
                <w:b w:val="0"/>
                <w:sz w:val="19"/>
              </w:rPr>
              <w:t>Projection</w:t>
            </w:r>
          </w:p>
        </w:tc>
        <w:tc>
          <w:tcPr>
            <w:tcW w:type="dxa" w:w="2268"/>
            <w:tcMar>
              <w:top w:w="60" w:type="dxa"/>
              <w:bottom w:w="60" w:type="dxa"/>
              <w:start w:w="100" w:type="dxa"/>
              <w:end w:w="100" w:type="dxa"/>
            </w:tcMar>
          </w:tcPr>
          <w:p>
            <w:r/>
            <w:r>
              <w:rPr>
                <w:rFonts w:ascii="Calibri" w:hAnsi="Calibri"/>
                <w:b w:val="0"/>
                <w:sz w:val="19"/>
              </w:rPr>
              <w:t>N2</w:t>
            </w:r>
          </w:p>
        </w:tc>
      </w:tr>
    </w:tbl>
    <w:p>
      <w:pPr>
        <w:spacing w:after="120"/>
      </w:pPr>
    </w:p>
    <w:p>
      <w:pPr>
        <w:spacing w:before="80" w:after="20"/>
      </w:pPr>
      <w:r>
        <w:rPr>
          <w:b/>
          <w:color w:val="1F6F78"/>
          <w:sz w:val="21"/>
        </w:rPr>
        <w:t>Description</w:t>
      </w:r>
    </w:p>
    <w:p>
      <w:pPr>
        <w:spacing w:after="120"/>
      </w:pPr>
      <w:r>
        <w:rPr>
          <w:i w:val="0"/>
        </w:rPr>
        <w:t>L'utilisateur compare deux futurs côte à côte : par exemple « louer » versus « acheter », ou deux niveaux d'épargne. Chaque scénario affiche sa trajectoire de patrimoine, ses impacts à 5, 10 et 20 ans, et ses risques. La comparaison est visuelle et chiffrée.</w:t>
      </w:r>
    </w:p>
    <w:p>
      <w:pPr>
        <w:spacing w:before="80" w:after="20"/>
      </w:pPr>
      <w:r>
        <w:rPr>
          <w:b/>
          <w:color w:val="1F6F78"/>
          <w:sz w:val="21"/>
        </w:rPr>
        <w:t>Valeur métier</w:t>
      </w:r>
    </w:p>
    <w:p>
      <w:pPr>
        <w:spacing w:after="120"/>
      </w:pPr>
      <w:r>
        <w:rPr>
          <w:i w:val="0"/>
        </w:rPr>
        <w:t>Aide à trancher des choix structurants en visualisant leurs conséquences de long terme.</w:t>
      </w:r>
    </w:p>
    <w:p>
      <w:pPr>
        <w:spacing w:before="80" w:after="20"/>
      </w:pPr>
      <w:r>
        <w:rPr>
          <w:b/>
          <w:color w:val="1F6F78"/>
          <w:sz w:val="21"/>
        </w:rPr>
        <w:t>Histoires utilisateur</w:t>
      </w:r>
    </w:p>
    <w:p>
      <w:pPr>
        <w:pStyle w:val="ListBullet"/>
        <w:spacing w:after="40"/>
      </w:pPr>
      <w:r>
        <w:t>En tant qu'utilisateur, je veux comparer acheter et louer sur 20 ans avant de décider.</w:t>
      </w:r>
    </w:p>
    <w:p>
      <w:pPr>
        <w:spacing w:before="80" w:after="20"/>
      </w:pPr>
      <w:r>
        <w:rPr>
          <w:b/>
          <w:color w:val="1F6F78"/>
          <w:sz w:val="21"/>
        </w:rPr>
        <w:t>Règles de gestion</w:t>
      </w:r>
    </w:p>
    <w:p>
      <w:pPr>
        <w:pStyle w:val="ListBullet"/>
        <w:spacing w:after="40"/>
      </w:pPr>
      <w:r>
        <w:t>Deux scénarios sont calculés avec les mêmes hypothèses de base, paramètres distincts.</w:t>
      </w:r>
    </w:p>
    <w:p>
      <w:pPr>
        <w:pStyle w:val="ListBullet"/>
        <w:spacing w:after="40"/>
      </w:pPr>
      <w:r>
        <w:t>Les impacts à 5/10/20 ans sont affichés pour chaque scénario.</w:t>
      </w:r>
    </w:p>
    <w:p>
      <w:pPr>
        <w:pStyle w:val="ListBullet"/>
        <w:spacing w:after="40"/>
      </w:pPr>
      <w:r>
        <w:t>Les calculs sont déterministes.</w:t>
      </w:r>
    </w:p>
    <w:p>
      <w:pPr>
        <w:spacing w:before="80" w:after="20"/>
      </w:pPr>
      <w:r>
        <w:rPr>
          <w:b/>
          <w:color w:val="1F6F78"/>
          <w:sz w:val="21"/>
        </w:rPr>
        <w:t>Données &amp; calculs</w:t>
      </w:r>
    </w:p>
    <w:p>
      <w:pPr>
        <w:spacing w:after="120"/>
      </w:pPr>
      <w:r>
        <w:rPr>
          <w:i w:val="0"/>
        </w:rPr>
        <w:t>Entité Scenario (hypothèses, paramètres) ; trajectoires calculées.</w:t>
      </w:r>
    </w:p>
    <w:p>
      <w:pPr>
        <w:spacing w:before="80" w:after="20"/>
      </w:pPr>
      <w:r>
        <w:rPr>
          <w:b/>
          <w:color w:val="1F6F78"/>
          <w:sz w:val="21"/>
        </w:rPr>
        <w:t>Critères d'acceptation</w:t>
      </w:r>
    </w:p>
    <w:p>
      <w:pPr>
        <w:pStyle w:val="ListBullet"/>
        <w:spacing w:after="40"/>
      </w:pPr>
      <w:r>
        <w:t>La comparaison reflète fidèlement les hypothèses de chaque scénario.</w:t>
      </w:r>
    </w:p>
    <w:p>
      <w:pPr>
        <w:spacing w:after="160"/>
      </w:pPr>
    </w:p>
    <w:p>
      <w:pPr>
        <w:pStyle w:val="Heading3"/>
      </w:pPr>
      <w:r>
        <w:t>EF-045 — Timeline patrimoniale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C — Could (souhaitable)</w:t>
            </w:r>
          </w:p>
        </w:tc>
        <w:tc>
          <w:tcPr>
            <w:tcW w:type="dxa" w:w="1361"/>
            <w:tcMar>
              <w:top w:w="60" w:type="dxa"/>
              <w:bottom w:w="60" w:type="dxa"/>
              <w:start w:w="100" w:type="dxa"/>
              <w:end w:w="100" w:type="dxa"/>
            </w:tcMar>
          </w:tcPr>
          <w:p>
            <w:r/>
            <w:r>
              <w:rPr>
                <w:rFonts w:ascii="Calibri" w:hAnsi="Calibri"/>
                <w:b w:val="0"/>
                <w:sz w:val="19"/>
              </w:rPr>
              <w:t>P6</w:t>
            </w:r>
          </w:p>
        </w:tc>
        <w:tc>
          <w:tcPr>
            <w:tcW w:type="dxa" w:w="2608"/>
            <w:tcMar>
              <w:top w:w="60" w:type="dxa"/>
              <w:bottom w:w="60" w:type="dxa"/>
              <w:start w:w="100" w:type="dxa"/>
              <w:end w:w="100" w:type="dxa"/>
            </w:tcMar>
          </w:tcPr>
          <w:p>
            <w:r/>
            <w:r>
              <w:rPr>
                <w:rFonts w:ascii="Calibri" w:hAnsi="Calibri"/>
                <w:b w:val="0"/>
                <w:sz w:val="19"/>
              </w:rPr>
              <w:t>Projection</w:t>
            </w:r>
          </w:p>
        </w:tc>
        <w:tc>
          <w:tcPr>
            <w:tcW w:type="dxa" w:w="2268"/>
            <w:tcMar>
              <w:top w:w="60" w:type="dxa"/>
              <w:bottom w:w="60" w:type="dxa"/>
              <w:start w:w="100" w:type="dxa"/>
              <w:end w:w="100" w:type="dxa"/>
            </w:tcMar>
          </w:tcPr>
          <w:p>
            <w:r/>
            <w:r>
              <w:rPr>
                <w:rFonts w:ascii="Calibri" w:hAnsi="Calibri"/>
                <w:b w:val="0"/>
                <w:sz w:val="19"/>
              </w:rPr>
              <w:t>N1</w:t>
            </w:r>
          </w:p>
        </w:tc>
      </w:tr>
    </w:tbl>
    <w:p>
      <w:pPr>
        <w:spacing w:after="120"/>
      </w:pPr>
    </w:p>
    <w:p>
      <w:pPr>
        <w:spacing w:before="80" w:after="20"/>
      </w:pPr>
      <w:r>
        <w:rPr>
          <w:b/>
          <w:color w:val="1F6F78"/>
          <w:sz w:val="21"/>
        </w:rPr>
        <w:t>Description</w:t>
      </w:r>
    </w:p>
    <w:p>
      <w:pPr>
        <w:spacing w:after="120"/>
      </w:pPr>
      <w:r>
        <w:rPr>
          <w:i w:val="0"/>
        </w:rPr>
        <w:t>Une vue chronologique de la vie financière, passée et future : fonds d'urgence atteint en 2026, apport immobilier en 2028, bien locatif en 2032, indépendance en 2040. Elle relie objectifs, jalons et projections en un récit visuel cohérent.</w:t>
      </w:r>
    </w:p>
    <w:p>
      <w:pPr>
        <w:spacing w:before="80" w:after="20"/>
      </w:pPr>
      <w:r>
        <w:rPr>
          <w:b/>
          <w:color w:val="1F6F78"/>
          <w:sz w:val="21"/>
        </w:rPr>
        <w:t>Valeur métier</w:t>
      </w:r>
    </w:p>
    <w:p>
      <w:pPr>
        <w:spacing w:after="120"/>
      </w:pPr>
      <w:r>
        <w:rPr>
          <w:i w:val="0"/>
        </w:rPr>
        <w:t>Donne du sens et une direction en racontant la trajectoire patrimoniale comme une histoire.</w:t>
      </w:r>
    </w:p>
    <w:p>
      <w:pPr>
        <w:spacing w:before="80" w:after="20"/>
      </w:pPr>
      <w:r>
        <w:rPr>
          <w:b/>
          <w:color w:val="1F6F78"/>
          <w:sz w:val="21"/>
        </w:rPr>
        <w:t>Histoires utilisateur</w:t>
      </w:r>
    </w:p>
    <w:p>
      <w:pPr>
        <w:pStyle w:val="ListBullet"/>
        <w:spacing w:after="40"/>
      </w:pPr>
      <w:r>
        <w:t>En tant qu'utilisateur, je veux voir ma vie financière comme une frise du passé au futur.</w:t>
      </w:r>
    </w:p>
    <w:p>
      <w:pPr>
        <w:spacing w:before="80" w:after="20"/>
      </w:pPr>
      <w:r>
        <w:rPr>
          <w:b/>
          <w:color w:val="1F6F78"/>
          <w:sz w:val="21"/>
        </w:rPr>
        <w:t>Règles de gestion</w:t>
      </w:r>
    </w:p>
    <w:p>
      <w:pPr>
        <w:pStyle w:val="ListBullet"/>
        <w:spacing w:after="40"/>
      </w:pPr>
      <w:r>
        <w:t>La timeline agrège jalons franchis, objectifs et projections.</w:t>
      </w:r>
    </w:p>
    <w:p>
      <w:pPr>
        <w:pStyle w:val="ListBullet"/>
        <w:spacing w:after="40"/>
      </w:pPr>
      <w:r>
        <w:t>Les événements futurs sont des projections déterministes, signalées comme telles.</w:t>
      </w:r>
    </w:p>
    <w:p>
      <w:pPr>
        <w:pStyle w:val="ListBullet"/>
        <w:spacing w:after="40"/>
      </w:pPr>
      <w:r>
        <w:t>La frise est navigable et lisible.</w:t>
      </w:r>
    </w:p>
    <w:p>
      <w:pPr>
        <w:spacing w:before="80" w:after="20"/>
      </w:pPr>
      <w:r>
        <w:rPr>
          <w:b/>
          <w:color w:val="1F6F78"/>
          <w:sz w:val="21"/>
        </w:rPr>
        <w:t>Données &amp; calculs</w:t>
      </w:r>
    </w:p>
    <w:p>
      <w:pPr>
        <w:spacing w:after="120"/>
      </w:pPr>
      <w:r>
        <w:rPr>
          <w:i w:val="0"/>
        </w:rPr>
        <w:t>Jalons ; objectifs ; projections ; événements datés.</w:t>
      </w:r>
    </w:p>
    <w:p>
      <w:pPr>
        <w:spacing w:before="80" w:after="20"/>
      </w:pPr>
      <w:r>
        <w:rPr>
          <w:b/>
          <w:color w:val="1F6F78"/>
          <w:sz w:val="21"/>
        </w:rPr>
        <w:t>Critères d'acceptation</w:t>
      </w:r>
    </w:p>
    <w:p>
      <w:pPr>
        <w:pStyle w:val="ListBullet"/>
        <w:spacing w:after="40"/>
      </w:pPr>
      <w:r>
        <w:t>La timeline présente les événements aux bonnes dates et reste cohérente avec les projections.</w:t>
      </w:r>
    </w:p>
    <w:p>
      <w:pPr>
        <w:spacing w:after="160"/>
      </w:pPr>
    </w:p>
    <w:p>
      <w:pPr>
        <w:pStyle w:val="Heading2"/>
      </w:pPr>
      <w:r>
        <w:t>7.6 Onglet Assistant IA</w:t>
      </w:r>
    </w:p>
    <w:p>
      <w:pPr>
        <w:spacing w:after="120"/>
      </w:pPr>
      <w:r>
        <w:rPr>
          <w:i/>
          <w:color w:val="5B6670"/>
        </w:rPr>
        <w:t>L'intelligence conversationnelle et décisionnelle : recherche naturelle, IA contextuelle, Mode Décision et alertes.</w:t>
      </w:r>
    </w:p>
    <w:p>
      <w:pPr>
        <w:pStyle w:val="Heading3"/>
      </w:pPr>
      <w:r>
        <w:t>EF-050 — Recherche en langage naturel</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S — Should (important)</w:t>
            </w:r>
          </w:p>
        </w:tc>
        <w:tc>
          <w:tcPr>
            <w:tcW w:type="dxa" w:w="1361"/>
            <w:tcMar>
              <w:top w:w="60" w:type="dxa"/>
              <w:bottom w:w="60" w:type="dxa"/>
              <w:start w:w="100" w:type="dxa"/>
              <w:end w:w="100" w:type="dxa"/>
            </w:tcMar>
          </w:tcPr>
          <w:p>
            <w:r/>
            <w:r>
              <w:rPr>
                <w:rFonts w:ascii="Calibri" w:hAnsi="Calibri"/>
                <w:b w:val="0"/>
                <w:sz w:val="19"/>
              </w:rPr>
              <w:t>P5</w:t>
            </w:r>
          </w:p>
        </w:tc>
        <w:tc>
          <w:tcPr>
            <w:tcW w:type="dxa" w:w="2608"/>
            <w:tcMar>
              <w:top w:w="60" w:type="dxa"/>
              <w:bottom w:w="60" w:type="dxa"/>
              <w:start w:w="100" w:type="dxa"/>
              <w:end w:w="100" w:type="dxa"/>
            </w:tcMar>
          </w:tcPr>
          <w:p>
            <w:r/>
            <w:r>
              <w:rPr>
                <w:rFonts w:ascii="Calibri" w:hAnsi="Calibri"/>
                <w:b w:val="0"/>
                <w:sz w:val="19"/>
              </w:rPr>
              <w:t>Assistant</w:t>
            </w:r>
          </w:p>
        </w:tc>
        <w:tc>
          <w:tcPr>
            <w:tcW w:type="dxa" w:w="2268"/>
            <w:tcMar>
              <w:top w:w="60" w:type="dxa"/>
              <w:bottom w:w="60" w:type="dxa"/>
              <w:start w:w="100" w:type="dxa"/>
              <w:end w:w="100" w:type="dxa"/>
            </w:tcMar>
          </w:tcPr>
          <w:p>
            <w:r/>
            <w:r>
              <w:rPr>
                <w:rFonts w:ascii="Calibri" w:hAnsi="Calibri"/>
                <w:b w:val="0"/>
                <w:sz w:val="19"/>
              </w:rPr>
              <w:t>N2</w:t>
            </w:r>
          </w:p>
        </w:tc>
      </w:tr>
    </w:tbl>
    <w:p>
      <w:pPr>
        <w:spacing w:after="120"/>
      </w:pPr>
    </w:p>
    <w:p>
      <w:pPr>
        <w:spacing w:before="80" w:after="20"/>
      </w:pPr>
      <w:r>
        <w:rPr>
          <w:b/>
          <w:color w:val="1F6F78"/>
          <w:sz w:val="21"/>
        </w:rPr>
        <w:t>Description</w:t>
      </w:r>
    </w:p>
    <w:p>
      <w:pPr>
        <w:spacing w:after="120"/>
      </w:pPr>
      <w:r>
        <w:rPr>
          <w:i w:val="0"/>
        </w:rPr>
        <w:t>L'utilisateur interroge ses données en langage naturel : « combien ai-je dépensé en courses en mars ? », « quel est mon plus gros poste de dépense ? ». L'IA comprend l'intention, le moteur déterministe calcule la réponse, et l'IA la restitue en langage clair. Aucune valeur chiffrée n'est inventée par l'IA.</w:t>
      </w:r>
    </w:p>
    <w:p>
      <w:pPr>
        <w:spacing w:before="80" w:after="20"/>
      </w:pPr>
      <w:r>
        <w:rPr>
          <w:b/>
          <w:color w:val="1F6F78"/>
          <w:sz w:val="21"/>
        </w:rPr>
        <w:t>Valeur métier</w:t>
      </w:r>
    </w:p>
    <w:p>
      <w:pPr>
        <w:spacing w:after="120"/>
      </w:pPr>
      <w:r>
        <w:rPr>
          <w:i w:val="0"/>
        </w:rPr>
        <w:t>Rend les données accessibles sans menus ni filtres, par simple conversation.</w:t>
      </w:r>
    </w:p>
    <w:p>
      <w:pPr>
        <w:spacing w:before="80" w:after="20"/>
      </w:pPr>
      <w:r>
        <w:rPr>
          <w:b/>
          <w:color w:val="1F6F78"/>
          <w:sz w:val="21"/>
        </w:rPr>
        <w:t>Histoires utilisateur</w:t>
      </w:r>
    </w:p>
    <w:p>
      <w:pPr>
        <w:pStyle w:val="ListBullet"/>
        <w:spacing w:after="40"/>
      </w:pPr>
      <w:r>
        <w:t>En tant qu'utilisateur, je veux poser une question simple et obtenir un chiffre exact.</w:t>
      </w:r>
    </w:p>
    <w:p>
      <w:pPr>
        <w:spacing w:before="80" w:after="20"/>
      </w:pPr>
      <w:r>
        <w:rPr>
          <w:b/>
          <w:color w:val="1F6F78"/>
          <w:sz w:val="21"/>
        </w:rPr>
        <w:t>Règles de gestion</w:t>
      </w:r>
    </w:p>
    <w:p>
      <w:pPr>
        <w:pStyle w:val="ListBullet"/>
        <w:spacing w:after="40"/>
      </w:pPr>
      <w:r>
        <w:t>L'IA traduit la question en requête ; le moteur calcule ; l'IA formule la réponse.</w:t>
      </w:r>
    </w:p>
    <w:p>
      <w:pPr>
        <w:pStyle w:val="ListBullet"/>
        <w:spacing w:after="40"/>
      </w:pPr>
      <w:r>
        <w:t>Les requêtes simples s'exécutent en priorité en local (niveau 1).</w:t>
      </w:r>
    </w:p>
    <w:p>
      <w:pPr>
        <w:pStyle w:val="ListBullet"/>
        <w:spacing w:after="40"/>
      </w:pPr>
      <w:r>
        <w:t>Tout chiffre provient du moteur déterministe.</w:t>
      </w:r>
    </w:p>
    <w:p>
      <w:pPr>
        <w:spacing w:before="80" w:after="20"/>
      </w:pPr>
      <w:r>
        <w:rPr>
          <w:b/>
          <w:color w:val="1F6F78"/>
          <w:sz w:val="21"/>
        </w:rPr>
        <w:t>Données &amp; calculs</w:t>
      </w:r>
    </w:p>
    <w:p>
      <w:pPr>
        <w:spacing w:after="120"/>
      </w:pPr>
      <w:r>
        <w:rPr>
          <w:i w:val="0"/>
        </w:rPr>
        <w:t>Intention extraite ; requête sur les transactions/agrégats ; réponse formulée.</w:t>
      </w:r>
    </w:p>
    <w:p>
      <w:pPr>
        <w:spacing w:before="80" w:after="20"/>
      </w:pPr>
      <w:r>
        <w:rPr>
          <w:b/>
          <w:color w:val="1F6F78"/>
          <w:sz w:val="21"/>
        </w:rPr>
        <w:t>Critères d'acceptation</w:t>
      </w:r>
    </w:p>
    <w:p>
      <w:pPr>
        <w:pStyle w:val="ListBullet"/>
        <w:spacing w:after="40"/>
      </w:pPr>
      <w:r>
        <w:t>Une question de dépense par catégorie et période retourne le montant exact.</w:t>
      </w:r>
    </w:p>
    <w:p>
      <w:pPr>
        <w:pStyle w:val="ListBullet"/>
        <w:spacing w:after="40"/>
      </w:pPr>
      <w:r>
        <w:t>Aucun chiffre n'est produit hors du moteur.</w:t>
      </w:r>
    </w:p>
    <w:p>
      <w:pPr>
        <w:spacing w:after="160"/>
      </w:pPr>
    </w:p>
    <w:p>
      <w:pPr>
        <w:pStyle w:val="Heading3"/>
      </w:pPr>
      <w:r>
        <w:t>EF-051 — IA patrimoniale contextuelle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S — Should (important)</w:t>
            </w:r>
          </w:p>
        </w:tc>
        <w:tc>
          <w:tcPr>
            <w:tcW w:type="dxa" w:w="1361"/>
            <w:tcMar>
              <w:top w:w="60" w:type="dxa"/>
              <w:bottom w:w="60" w:type="dxa"/>
              <w:start w:w="100" w:type="dxa"/>
              <w:end w:w="100" w:type="dxa"/>
            </w:tcMar>
          </w:tcPr>
          <w:p>
            <w:r/>
            <w:r>
              <w:rPr>
                <w:rFonts w:ascii="Calibri" w:hAnsi="Calibri"/>
                <w:b w:val="0"/>
                <w:sz w:val="19"/>
              </w:rPr>
              <w:t>P5</w:t>
            </w:r>
          </w:p>
        </w:tc>
        <w:tc>
          <w:tcPr>
            <w:tcW w:type="dxa" w:w="2608"/>
            <w:tcMar>
              <w:top w:w="60" w:type="dxa"/>
              <w:bottom w:w="60" w:type="dxa"/>
              <w:start w:w="100" w:type="dxa"/>
              <w:end w:w="100" w:type="dxa"/>
            </w:tcMar>
          </w:tcPr>
          <w:p>
            <w:r/>
            <w:r>
              <w:rPr>
                <w:rFonts w:ascii="Calibri" w:hAnsi="Calibri"/>
                <w:b w:val="0"/>
                <w:sz w:val="19"/>
              </w:rPr>
              <w:t>Assistant</w:t>
            </w:r>
          </w:p>
        </w:tc>
        <w:tc>
          <w:tcPr>
            <w:tcW w:type="dxa" w:w="2268"/>
            <w:tcMar>
              <w:top w:w="60" w:type="dxa"/>
              <w:bottom w:w="60" w:type="dxa"/>
              <w:start w:w="100" w:type="dxa"/>
              <w:end w:w="100" w:type="dxa"/>
            </w:tcMar>
          </w:tcPr>
          <w:p>
            <w:r/>
            <w:r>
              <w:rPr>
                <w:rFonts w:ascii="Calibri" w:hAnsi="Calibri"/>
                <w:b w:val="0"/>
                <w:sz w:val="19"/>
              </w:rPr>
              <w:t>N2</w:t>
            </w:r>
          </w:p>
        </w:tc>
      </w:tr>
    </w:tbl>
    <w:p>
      <w:pPr>
        <w:spacing w:after="120"/>
      </w:pPr>
    </w:p>
    <w:p>
      <w:pPr>
        <w:spacing w:before="80" w:after="20"/>
      </w:pPr>
      <w:r>
        <w:rPr>
          <w:b/>
          <w:color w:val="1F6F78"/>
          <w:sz w:val="21"/>
        </w:rPr>
        <w:t>Description</w:t>
      </w:r>
    </w:p>
    <w:p>
      <w:pPr>
        <w:spacing w:after="120"/>
      </w:pPr>
      <w:r>
        <w:rPr>
          <w:i w:val="0"/>
        </w:rPr>
        <w:t>L'assistant connaît la situation patrimoniale complète du profil (revenus, charges, actifs, dettes, objectifs, risques) et raisonne dessus pour fournir explications, insights et recommandations. Le contexte est fourni de manière minimisée et, si un niveau cloud est nécessaire, anonymisée. Les chiffres restent issus du moteur.</w:t>
      </w:r>
    </w:p>
    <w:p>
      <w:pPr>
        <w:spacing w:before="80" w:after="20"/>
      </w:pPr>
      <w:r>
        <w:rPr>
          <w:b/>
          <w:color w:val="1F6F78"/>
          <w:sz w:val="21"/>
        </w:rPr>
        <w:t>Valeur métier</w:t>
      </w:r>
    </w:p>
    <w:p>
      <w:pPr>
        <w:spacing w:after="120"/>
      </w:pPr>
      <w:r>
        <w:rPr>
          <w:i w:val="0"/>
        </w:rPr>
        <w:t>Offre une intelligence financière personnalisée inaccessible aux apps sans données complètes, IA et confidentialité réunies.</w:t>
      </w:r>
    </w:p>
    <w:p>
      <w:pPr>
        <w:spacing w:before="80" w:after="20"/>
      </w:pPr>
      <w:r>
        <w:rPr>
          <w:b/>
          <w:color w:val="1F6F78"/>
          <w:sz w:val="21"/>
        </w:rPr>
        <w:t>Histoires utilisateur</w:t>
      </w:r>
    </w:p>
    <w:p>
      <w:pPr>
        <w:pStyle w:val="ListBullet"/>
        <w:spacing w:after="40"/>
      </w:pPr>
      <w:r>
        <w:t>En tant qu'utilisateur, je veux des conseils tenant compte de toute ma situation, pas de généralités.</w:t>
      </w:r>
    </w:p>
    <w:p>
      <w:pPr>
        <w:spacing w:before="80" w:after="20"/>
      </w:pPr>
      <w:r>
        <w:rPr>
          <w:b/>
          <w:color w:val="1F6F78"/>
          <w:sz w:val="21"/>
        </w:rPr>
        <w:t>Règles de gestion</w:t>
      </w:r>
    </w:p>
    <w:p>
      <w:pPr>
        <w:pStyle w:val="ListBullet"/>
        <w:spacing w:after="40"/>
      </w:pPr>
      <w:r>
        <w:t>Le contexte transmis respecte les niveaux de confidentialité N1/N2/N3.</w:t>
      </w:r>
    </w:p>
    <w:p>
      <w:pPr>
        <w:pStyle w:val="ListBullet"/>
        <w:spacing w:after="40"/>
      </w:pPr>
      <w:r>
        <w:t>L'IA explique et recommande mais ne chiffre jamais hors moteur.</w:t>
      </w:r>
    </w:p>
    <w:p>
      <w:pPr>
        <w:pStyle w:val="ListBullet"/>
        <w:spacing w:after="40"/>
      </w:pPr>
      <w:r>
        <w:t>Le niveau d'IA est choisi par l'AI Router selon complexité et sensibilité.</w:t>
      </w:r>
    </w:p>
    <w:p>
      <w:pPr>
        <w:spacing w:before="80" w:after="20"/>
      </w:pPr>
      <w:r>
        <w:rPr>
          <w:b/>
          <w:color w:val="1F6F78"/>
          <w:sz w:val="21"/>
        </w:rPr>
        <w:t>Données &amp; calculs</w:t>
      </w:r>
    </w:p>
    <w:p>
      <w:pPr>
        <w:spacing w:after="120"/>
      </w:pPr>
      <w:r>
        <w:rPr>
          <w:i w:val="0"/>
        </w:rPr>
        <w:t>Contexte patrimonial structuré ; sorties d'analyse de l'IA ; chiffres du moteur.</w:t>
      </w:r>
    </w:p>
    <w:p>
      <w:pPr>
        <w:spacing w:before="80" w:after="20"/>
      </w:pPr>
      <w:r>
        <w:rPr>
          <w:b/>
          <w:color w:val="1F6F78"/>
          <w:sz w:val="21"/>
        </w:rPr>
        <w:t>Critères d'acceptation</w:t>
      </w:r>
    </w:p>
    <w:p>
      <w:pPr>
        <w:pStyle w:val="ListBullet"/>
        <w:spacing w:after="40"/>
      </w:pPr>
      <w:r>
        <w:t>Les recommandations sont cohérentes avec la situation réelle.</w:t>
      </w:r>
    </w:p>
    <w:p>
      <w:pPr>
        <w:pStyle w:val="ListBullet"/>
        <w:spacing w:after="40"/>
      </w:pPr>
      <w:r>
        <w:t>Les données sensibles ne quittent pas le périmètre autorisé.</w:t>
      </w:r>
    </w:p>
    <w:p>
      <w:pPr>
        <w:spacing w:after="160"/>
      </w:pPr>
    </w:p>
    <w:p>
      <w:pPr>
        <w:pStyle w:val="Heading3"/>
      </w:pPr>
      <w:r>
        <w:t>EF-052 — Mode Décision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S — Should (important)</w:t>
            </w:r>
          </w:p>
        </w:tc>
        <w:tc>
          <w:tcPr>
            <w:tcW w:type="dxa" w:w="1361"/>
            <w:tcMar>
              <w:top w:w="60" w:type="dxa"/>
              <w:bottom w:w="60" w:type="dxa"/>
              <w:start w:w="100" w:type="dxa"/>
              <w:end w:w="100" w:type="dxa"/>
            </w:tcMar>
          </w:tcPr>
          <w:p>
            <w:r/>
            <w:r>
              <w:rPr>
                <w:rFonts w:ascii="Calibri" w:hAnsi="Calibri"/>
                <w:b w:val="0"/>
                <w:sz w:val="19"/>
              </w:rPr>
              <w:t>P5</w:t>
            </w:r>
          </w:p>
        </w:tc>
        <w:tc>
          <w:tcPr>
            <w:tcW w:type="dxa" w:w="2608"/>
            <w:tcMar>
              <w:top w:w="60" w:type="dxa"/>
              <w:bottom w:w="60" w:type="dxa"/>
              <w:start w:w="100" w:type="dxa"/>
              <w:end w:w="100" w:type="dxa"/>
            </w:tcMar>
          </w:tcPr>
          <w:p>
            <w:r/>
            <w:r>
              <w:rPr>
                <w:rFonts w:ascii="Calibri" w:hAnsi="Calibri"/>
                <w:b w:val="0"/>
                <w:sz w:val="19"/>
              </w:rPr>
              <w:t>Assistant</w:t>
            </w:r>
          </w:p>
        </w:tc>
        <w:tc>
          <w:tcPr>
            <w:tcW w:type="dxa" w:w="2268"/>
            <w:tcMar>
              <w:top w:w="60" w:type="dxa"/>
              <w:bottom w:w="60" w:type="dxa"/>
              <w:start w:w="100" w:type="dxa"/>
              <w:end w:w="100" w:type="dxa"/>
            </w:tcMar>
          </w:tcPr>
          <w:p>
            <w:r/>
            <w:r>
              <w:rPr>
                <w:rFonts w:ascii="Calibri" w:hAnsi="Calibri"/>
                <w:b w:val="0"/>
                <w:sz w:val="19"/>
              </w:rPr>
              <w:t>N2</w:t>
            </w:r>
          </w:p>
        </w:tc>
      </w:tr>
    </w:tbl>
    <w:p>
      <w:pPr>
        <w:spacing w:after="120"/>
      </w:pPr>
    </w:p>
    <w:p>
      <w:pPr>
        <w:spacing w:before="80" w:after="20"/>
      </w:pPr>
      <w:r>
        <w:rPr>
          <w:b/>
          <w:color w:val="1F6F78"/>
          <w:sz w:val="21"/>
        </w:rPr>
        <w:t>Description</w:t>
      </w:r>
    </w:p>
    <w:p>
      <w:pPr>
        <w:spacing w:after="120"/>
      </w:pPr>
      <w:r>
        <w:rPr>
          <w:i w:val="0"/>
        </w:rPr>
        <w:t>Le cœur de la valeur : l'utilisateur pose une décision (acheter ou louer, payer cash ou à crédit, rembourser ou investir, quitter son emploi…). Le moteur calcule les impacts immédiat, à 5 ans et à 10 ans sur le patrimoine, le cash, les objectifs et la date d'indépendance, évalue le risque, et propose trois scénarios (prudent, normal, ambitieux) ainsi qu'une recommandation argumentée.</w:t>
      </w:r>
    </w:p>
    <w:p>
      <w:pPr>
        <w:spacing w:before="80" w:after="20"/>
      </w:pPr>
      <w:r>
        <w:rPr>
          <w:b/>
          <w:color w:val="1F6F78"/>
          <w:sz w:val="21"/>
        </w:rPr>
        <w:t>Valeur métier</w:t>
      </w:r>
    </w:p>
    <w:p>
      <w:pPr>
        <w:spacing w:after="120"/>
      </w:pPr>
      <w:r>
        <w:rPr>
          <w:i w:val="0"/>
        </w:rPr>
        <w:t>Matérialise la promesse « l'argent sert à décider » et constitue le principal fossé concurrentiel.</w:t>
      </w:r>
    </w:p>
    <w:p>
      <w:pPr>
        <w:spacing w:before="80" w:after="20"/>
      </w:pPr>
      <w:r>
        <w:rPr>
          <w:b/>
          <w:color w:val="1F6F78"/>
          <w:sz w:val="21"/>
        </w:rPr>
        <w:t>Histoires utilisateur</w:t>
      </w:r>
    </w:p>
    <w:p>
      <w:pPr>
        <w:pStyle w:val="ListBullet"/>
        <w:spacing w:after="40"/>
      </w:pPr>
      <w:r>
        <w:t>En tant qu'utilisateur, je veux savoir si je peux m'offrir une voiture à 35 000 € et ce que cela change.</w:t>
      </w:r>
    </w:p>
    <w:p>
      <w:pPr>
        <w:pStyle w:val="ListBullet"/>
        <w:spacing w:after="40"/>
      </w:pPr>
      <w:r>
        <w:t>En tant qu'utilisateur, je veux comparer acheter et louer avec des impacts chiffrés sur 10 ans.</w:t>
      </w:r>
    </w:p>
    <w:p>
      <w:pPr>
        <w:spacing w:before="80" w:after="20"/>
      </w:pPr>
      <w:r>
        <w:rPr>
          <w:b/>
          <w:color w:val="1F6F78"/>
          <w:sz w:val="21"/>
        </w:rPr>
        <w:t>Règles de gestion</w:t>
      </w:r>
    </w:p>
    <w:p>
      <w:pPr>
        <w:pStyle w:val="ListBullet"/>
        <w:spacing w:after="40"/>
      </w:pPr>
      <w:r>
        <w:t>Le moteur déterministe produit tous les impacts chiffrés (0/5/10 ans).</w:t>
      </w:r>
    </w:p>
    <w:p>
      <w:pPr>
        <w:pStyle w:val="ListBullet"/>
        <w:spacing w:after="40"/>
      </w:pPr>
      <w:r>
        <w:t>Trois scénarios prudent/normal/ambitieux sont présentés.</w:t>
      </w:r>
    </w:p>
    <w:p>
      <w:pPr>
        <w:pStyle w:val="ListBullet"/>
        <w:spacing w:after="40"/>
      </w:pPr>
      <w:r>
        <w:t>Une décision complexe peut être routée vers le cloud avec données anonymisées et confirmation.</w:t>
      </w:r>
    </w:p>
    <w:p>
      <w:pPr>
        <w:spacing w:before="80" w:after="20"/>
      </w:pPr>
      <w:r>
        <w:rPr>
          <w:b/>
          <w:color w:val="1F6F78"/>
          <w:sz w:val="21"/>
        </w:rPr>
        <w:t>Données &amp; calculs</w:t>
      </w:r>
    </w:p>
    <w:p>
      <w:pPr>
        <w:spacing w:after="120"/>
      </w:pPr>
      <w:r>
        <w:rPr>
          <w:i w:val="0"/>
        </w:rPr>
        <w:t>Entité Scenario ; impacts calculés (patrimoine, cash, fonds d'urgence, date d'indépendance) ; niveau de risque.</w:t>
      </w:r>
    </w:p>
    <w:p>
      <w:pPr>
        <w:spacing w:before="80" w:after="20"/>
      </w:pPr>
      <w:r>
        <w:rPr>
          <w:b/>
          <w:color w:val="1F6F78"/>
          <w:sz w:val="21"/>
        </w:rPr>
        <w:t>Critères d'acceptation</w:t>
      </w:r>
    </w:p>
    <w:p>
      <w:pPr>
        <w:pStyle w:val="ListBullet"/>
        <w:spacing w:after="40"/>
      </w:pPr>
      <w:r>
        <w:t>Les impacts affichés sont reproductibles et cohérents avec les données.</w:t>
      </w:r>
    </w:p>
    <w:p>
      <w:pPr>
        <w:pStyle w:val="ListBullet"/>
        <w:spacing w:after="40"/>
      </w:pPr>
      <w:r>
        <w:t>La recommandation s'appuie sur les chiffres du moteur, jamais inventés.</w:t>
      </w:r>
    </w:p>
    <w:p>
      <w:pPr>
        <w:spacing w:after="160"/>
      </w:pPr>
    </w:p>
    <w:p>
      <w:pPr>
        <w:pStyle w:val="Heading3"/>
      </w:pPr>
      <w:r>
        <w:t>EF-053 — Alertes intelligentes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S — Should (important)</w:t>
            </w:r>
          </w:p>
        </w:tc>
        <w:tc>
          <w:tcPr>
            <w:tcW w:type="dxa" w:w="1361"/>
            <w:tcMar>
              <w:top w:w="60" w:type="dxa"/>
              <w:bottom w:w="60" w:type="dxa"/>
              <w:start w:w="100" w:type="dxa"/>
              <w:end w:w="100" w:type="dxa"/>
            </w:tcMar>
          </w:tcPr>
          <w:p>
            <w:r/>
            <w:r>
              <w:rPr>
                <w:rFonts w:ascii="Calibri" w:hAnsi="Calibri"/>
                <w:b w:val="0"/>
                <w:sz w:val="19"/>
              </w:rPr>
              <w:t>P4</w:t>
            </w:r>
          </w:p>
        </w:tc>
        <w:tc>
          <w:tcPr>
            <w:tcW w:type="dxa" w:w="2608"/>
            <w:tcMar>
              <w:top w:w="60" w:type="dxa"/>
              <w:bottom w:w="60" w:type="dxa"/>
              <w:start w:w="100" w:type="dxa"/>
              <w:end w:w="100" w:type="dxa"/>
            </w:tcMar>
          </w:tcPr>
          <w:p>
            <w:r/>
            <w:r>
              <w:rPr>
                <w:rFonts w:ascii="Calibri" w:hAnsi="Calibri"/>
                <w:b w:val="0"/>
                <w:sz w:val="19"/>
              </w:rPr>
              <w:t>Assistant</w:t>
            </w:r>
          </w:p>
        </w:tc>
        <w:tc>
          <w:tcPr>
            <w:tcW w:type="dxa" w:w="2268"/>
            <w:tcMar>
              <w:top w:w="60" w:type="dxa"/>
              <w:bottom w:w="60" w:type="dxa"/>
              <w:start w:w="100" w:type="dxa"/>
              <w:end w:w="100" w:type="dxa"/>
            </w:tcMar>
          </w:tcPr>
          <w:p>
            <w:r/>
            <w:r>
              <w:rPr>
                <w:rFonts w:ascii="Calibri" w:hAnsi="Calibri"/>
                <w:b w:val="0"/>
                <w:sz w:val="19"/>
              </w:rPr>
              <w:t>N2</w:t>
            </w:r>
          </w:p>
        </w:tc>
      </w:tr>
    </w:tbl>
    <w:p>
      <w:pPr>
        <w:spacing w:after="120"/>
      </w:pPr>
    </w:p>
    <w:p>
      <w:pPr>
        <w:spacing w:before="80" w:after="20"/>
      </w:pPr>
      <w:r>
        <w:rPr>
          <w:b/>
          <w:color w:val="1F6F78"/>
          <w:sz w:val="21"/>
        </w:rPr>
        <w:t>Description</w:t>
      </w:r>
    </w:p>
    <w:p>
      <w:pPr>
        <w:spacing w:after="120"/>
      </w:pPr>
      <w:r>
        <w:rPr>
          <w:i w:val="0"/>
        </w:rPr>
        <w:t>L'app génère des alertes pertinentes : dépassement d'enveloppe, solde bas prévu à une date future, abonnement en hausse, fonds d'urgence sous le seuil, échéance importante à venir. Les alertes sont calculées de façon déterministe et formulées clairement ; l'utilisateur en règle la sensibilité.</w:t>
      </w:r>
    </w:p>
    <w:p>
      <w:pPr>
        <w:spacing w:before="80" w:after="20"/>
      </w:pPr>
      <w:r>
        <w:rPr>
          <w:b/>
          <w:color w:val="1F6F78"/>
          <w:sz w:val="21"/>
        </w:rPr>
        <w:t>Valeur métier</w:t>
      </w:r>
    </w:p>
    <w:p>
      <w:pPr>
        <w:spacing w:after="120"/>
      </w:pPr>
      <w:r>
        <w:rPr>
          <w:i w:val="0"/>
        </w:rPr>
        <w:t>Passe d'un historique passif à un pilotage proactif qui prévient plutôt que de constater.</w:t>
      </w:r>
    </w:p>
    <w:p>
      <w:pPr>
        <w:spacing w:before="80" w:after="20"/>
      </w:pPr>
      <w:r>
        <w:rPr>
          <w:b/>
          <w:color w:val="1F6F78"/>
          <w:sz w:val="21"/>
        </w:rPr>
        <w:t>Histoires utilisateur</w:t>
      </w:r>
    </w:p>
    <w:p>
      <w:pPr>
        <w:pStyle w:val="ListBullet"/>
        <w:spacing w:after="40"/>
      </w:pPr>
      <w:r>
        <w:t>En tant qu'utilisateur, je veux être prévenu avant d'être à découvert.</w:t>
      </w:r>
    </w:p>
    <w:p>
      <w:pPr>
        <w:pStyle w:val="ListBullet"/>
        <w:spacing w:after="40"/>
      </w:pPr>
      <w:r>
        <w:t>En tant qu'utilisateur, je veux savoir quand je dépasse un budget.</w:t>
      </w:r>
    </w:p>
    <w:p>
      <w:pPr>
        <w:spacing w:before="80" w:after="20"/>
      </w:pPr>
      <w:r>
        <w:rPr>
          <w:b/>
          <w:color w:val="1F6F78"/>
          <w:sz w:val="21"/>
        </w:rPr>
        <w:t>Règles de gestion</w:t>
      </w:r>
    </w:p>
    <w:p>
      <w:pPr>
        <w:pStyle w:val="ListBullet"/>
        <w:spacing w:after="40"/>
      </w:pPr>
      <w:r>
        <w:t>Les conditions d'alerte reposent sur des seuils déterministes (cashflow, enveloppes, fonds d'urgence).</w:t>
      </w:r>
    </w:p>
    <w:p>
      <w:pPr>
        <w:pStyle w:val="ListBullet"/>
        <w:spacing w:after="40"/>
      </w:pPr>
      <w:r>
        <w:t>La sensibilité et les canaux d'alerte sont paramétrables.</w:t>
      </w:r>
    </w:p>
    <w:p>
      <w:pPr>
        <w:pStyle w:val="ListBullet"/>
        <w:spacing w:after="40"/>
      </w:pPr>
      <w:r>
        <w:t>Chaque alerte est explicable et traçable.</w:t>
      </w:r>
    </w:p>
    <w:p>
      <w:pPr>
        <w:spacing w:before="80" w:after="20"/>
      </w:pPr>
      <w:r>
        <w:rPr>
          <w:b/>
          <w:color w:val="1F6F78"/>
          <w:sz w:val="21"/>
        </w:rPr>
        <w:t>Données &amp; calculs</w:t>
      </w:r>
    </w:p>
    <w:p>
      <w:pPr>
        <w:spacing w:after="120"/>
      </w:pPr>
      <w:r>
        <w:rPr>
          <w:i w:val="0"/>
        </w:rPr>
        <w:t>Seuils ; projections de cashflow ; enveloppes ; règles d'alerte.</w:t>
      </w:r>
    </w:p>
    <w:p>
      <w:pPr>
        <w:spacing w:before="80" w:after="20"/>
      </w:pPr>
      <w:r>
        <w:rPr>
          <w:b/>
          <w:color w:val="1F6F78"/>
          <w:sz w:val="21"/>
        </w:rPr>
        <w:t>Critères d'acceptation</w:t>
      </w:r>
    </w:p>
    <w:p>
      <w:pPr>
        <w:pStyle w:val="ListBullet"/>
        <w:spacing w:after="40"/>
      </w:pPr>
      <w:r>
        <w:t>Une condition d'alerte remplie déclenche une notification claire.</w:t>
      </w:r>
    </w:p>
    <w:p>
      <w:pPr>
        <w:pStyle w:val="ListBullet"/>
        <w:spacing w:after="40"/>
      </w:pPr>
      <w:r>
        <w:t>Les alertes ne produisent pas de faux positifs sur des seuils non atteints.</w:t>
      </w:r>
    </w:p>
    <w:p>
      <w:pPr>
        <w:spacing w:after="160"/>
      </w:pPr>
    </w:p>
    <w:p>
      <w:pPr>
        <w:pStyle w:val="Heading2"/>
      </w:pPr>
      <w:r>
        <w:t>7.7 Briques transverses</w:t>
      </w:r>
    </w:p>
    <w:p>
      <w:pPr>
        <w:spacing w:after="120"/>
      </w:pPr>
      <w:r>
        <w:rPr>
          <w:i/>
          <w:color w:val="5B6670"/>
        </w:rPr>
        <w:t>Les fonctions de fond qui font le fossé concurrentiel : Financial Twin, radar de risques, bilan mensuel, transmission et coffre-fort.</w:t>
      </w:r>
    </w:p>
    <w:p>
      <w:pPr>
        <w:pStyle w:val="Heading3"/>
      </w:pPr>
      <w:r>
        <w:t>EF-060 — Financial Twin (double financier)</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S — Should (important)</w:t>
            </w:r>
          </w:p>
        </w:tc>
        <w:tc>
          <w:tcPr>
            <w:tcW w:type="dxa" w:w="1361"/>
            <w:tcMar>
              <w:top w:w="60" w:type="dxa"/>
              <w:bottom w:w="60" w:type="dxa"/>
              <w:start w:w="100" w:type="dxa"/>
              <w:end w:w="100" w:type="dxa"/>
            </w:tcMar>
          </w:tcPr>
          <w:p>
            <w:r/>
            <w:r>
              <w:rPr>
                <w:rFonts w:ascii="Calibri" w:hAnsi="Calibri"/>
                <w:b w:val="0"/>
                <w:sz w:val="19"/>
              </w:rPr>
              <w:t>P5</w:t>
            </w:r>
          </w:p>
        </w:tc>
        <w:tc>
          <w:tcPr>
            <w:tcW w:type="dxa" w:w="2608"/>
            <w:tcMar>
              <w:top w:w="60" w:type="dxa"/>
              <w:bottom w:w="60" w:type="dxa"/>
              <w:start w:w="100" w:type="dxa"/>
              <w:end w:w="100" w:type="dxa"/>
            </w:tcMar>
          </w:tcPr>
          <w:p>
            <w:r/>
            <w:r>
              <w:rPr>
                <w:rFonts w:ascii="Calibri" w:hAnsi="Calibri"/>
                <w:b w:val="0"/>
                <w:sz w:val="19"/>
              </w:rPr>
              <w:t>Transverse</w:t>
            </w:r>
          </w:p>
        </w:tc>
        <w:tc>
          <w:tcPr>
            <w:tcW w:type="dxa" w:w="2268"/>
            <w:tcMar>
              <w:top w:w="60" w:type="dxa"/>
              <w:bottom w:w="60" w:type="dxa"/>
              <w:start w:w="100" w:type="dxa"/>
              <w:end w:w="100" w:type="dxa"/>
            </w:tcMar>
          </w:tcPr>
          <w:p>
            <w:r/>
            <w:r>
              <w:rPr>
                <w:rFonts w:ascii="Calibri" w:hAnsi="Calibri"/>
                <w:b w:val="0"/>
                <w:sz w:val="19"/>
              </w:rPr>
              <w:t>N2</w:t>
            </w:r>
          </w:p>
        </w:tc>
      </w:tr>
    </w:tbl>
    <w:p>
      <w:pPr>
        <w:spacing w:after="120"/>
      </w:pPr>
    </w:p>
    <w:p>
      <w:pPr>
        <w:spacing w:before="80" w:after="20"/>
      </w:pPr>
      <w:r>
        <w:rPr>
          <w:b/>
          <w:color w:val="1F6F78"/>
          <w:sz w:val="21"/>
        </w:rPr>
        <w:t>Description</w:t>
      </w:r>
    </w:p>
    <w:p>
      <w:pPr>
        <w:spacing w:after="120"/>
      </w:pPr>
      <w:r>
        <w:rPr>
          <w:i w:val="0"/>
        </w:rPr>
        <w:t>Le Financial Twin est le double financier de l'utilisateur : un modèle vivant de ses revenus, charges, actifs, dettes, objectifs, habitudes et risques. Il sert de moteur de simulation au Mode Décision, aux projections et au radar de risques. C'est le cœur conceptuel du produit : une représentation simulable de la situation réelle.</w:t>
      </w:r>
    </w:p>
    <w:p>
      <w:pPr>
        <w:spacing w:before="80" w:after="20"/>
      </w:pPr>
      <w:r>
        <w:rPr>
          <w:b/>
          <w:color w:val="1F6F78"/>
          <w:sz w:val="21"/>
        </w:rPr>
        <w:t>Valeur métier</w:t>
      </w:r>
    </w:p>
    <w:p>
      <w:pPr>
        <w:spacing w:after="120"/>
      </w:pPr>
      <w:r>
        <w:rPr>
          <w:i w:val="0"/>
        </w:rPr>
        <w:t>Permet de tester des décisions et des futurs sur une copie fidèle de la réalité, sans risque.</w:t>
      </w:r>
    </w:p>
    <w:p>
      <w:pPr>
        <w:spacing w:before="80" w:after="20"/>
      </w:pPr>
      <w:r>
        <w:rPr>
          <w:b/>
          <w:color w:val="1F6F78"/>
          <w:sz w:val="21"/>
        </w:rPr>
        <w:t>Histoires utilisateur</w:t>
      </w:r>
    </w:p>
    <w:p>
      <w:pPr>
        <w:pStyle w:val="ListBullet"/>
        <w:spacing w:after="40"/>
      </w:pPr>
      <w:r>
        <w:t>En tant qu'utilisateur, je veux que l'app raisonne sur une image complète et cohérente de ma situation.</w:t>
      </w:r>
    </w:p>
    <w:p>
      <w:pPr>
        <w:spacing w:before="80" w:after="20"/>
      </w:pPr>
      <w:r>
        <w:rPr>
          <w:b/>
          <w:color w:val="1F6F78"/>
          <w:sz w:val="21"/>
        </w:rPr>
        <w:t>Règles de gestion</w:t>
      </w:r>
    </w:p>
    <w:p>
      <w:pPr>
        <w:pStyle w:val="ListBullet"/>
        <w:spacing w:after="40"/>
      </w:pPr>
      <w:r>
        <w:t>Le Twin agrège l'ensemble des données financières du profil en un modèle cohérent.</w:t>
      </w:r>
    </w:p>
    <w:p>
      <w:pPr>
        <w:pStyle w:val="ListBullet"/>
        <w:spacing w:after="40"/>
      </w:pPr>
      <w:r>
        <w:t>Il alimente les simulations (décisions, projections, risques).</w:t>
      </w:r>
    </w:p>
    <w:p>
      <w:pPr>
        <w:pStyle w:val="ListBullet"/>
        <w:spacing w:after="40"/>
      </w:pPr>
      <w:r>
        <w:t>Il est recalculé à partir des données réelles, jamais inventé.</w:t>
      </w:r>
    </w:p>
    <w:p>
      <w:pPr>
        <w:spacing w:before="80" w:after="20"/>
      </w:pPr>
      <w:r>
        <w:rPr>
          <w:b/>
          <w:color w:val="1F6F78"/>
          <w:sz w:val="21"/>
        </w:rPr>
        <w:t>Données &amp; calculs</w:t>
      </w:r>
    </w:p>
    <w:p>
      <w:pPr>
        <w:spacing w:after="120"/>
      </w:pPr>
      <w:r>
        <w:rPr>
          <w:i w:val="0"/>
        </w:rPr>
        <w:t>Agrégat structuré du profil (revenus, charges, actifs, dettes, objectifs, habitudes).</w:t>
      </w:r>
    </w:p>
    <w:p>
      <w:pPr>
        <w:spacing w:before="80" w:after="20"/>
      </w:pPr>
      <w:r>
        <w:rPr>
          <w:b/>
          <w:color w:val="1F6F78"/>
          <w:sz w:val="21"/>
        </w:rPr>
        <w:t>Critères d'acceptation</w:t>
      </w:r>
    </w:p>
    <w:p>
      <w:pPr>
        <w:pStyle w:val="ListBullet"/>
        <w:spacing w:after="40"/>
      </w:pPr>
      <w:r>
        <w:t>Les simulations fondées sur le Twin sont cohérentes avec les données réelles.</w:t>
      </w:r>
    </w:p>
    <w:p>
      <w:pPr>
        <w:spacing w:after="160"/>
      </w:pPr>
    </w:p>
    <w:p>
      <w:pPr>
        <w:pStyle w:val="Heading3"/>
      </w:pPr>
      <w:r>
        <w:t>EF-061 — Radar de risques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S — Should (important)</w:t>
            </w:r>
          </w:p>
        </w:tc>
        <w:tc>
          <w:tcPr>
            <w:tcW w:type="dxa" w:w="1361"/>
            <w:tcMar>
              <w:top w:w="60" w:type="dxa"/>
              <w:bottom w:w="60" w:type="dxa"/>
              <w:start w:w="100" w:type="dxa"/>
              <w:end w:w="100" w:type="dxa"/>
            </w:tcMar>
          </w:tcPr>
          <w:p>
            <w:r/>
            <w:r>
              <w:rPr>
                <w:rFonts w:ascii="Calibri" w:hAnsi="Calibri"/>
                <w:b w:val="0"/>
                <w:sz w:val="19"/>
              </w:rPr>
              <w:t>P5</w:t>
            </w:r>
          </w:p>
        </w:tc>
        <w:tc>
          <w:tcPr>
            <w:tcW w:type="dxa" w:w="2608"/>
            <w:tcMar>
              <w:top w:w="60" w:type="dxa"/>
              <w:bottom w:w="60" w:type="dxa"/>
              <w:start w:w="100" w:type="dxa"/>
              <w:end w:w="100" w:type="dxa"/>
            </w:tcMar>
          </w:tcPr>
          <w:p>
            <w:r/>
            <w:r>
              <w:rPr>
                <w:rFonts w:ascii="Calibri" w:hAnsi="Calibri"/>
                <w:b w:val="0"/>
                <w:sz w:val="19"/>
              </w:rPr>
              <w:t>Transverse</w:t>
            </w:r>
          </w:p>
        </w:tc>
        <w:tc>
          <w:tcPr>
            <w:tcW w:type="dxa" w:w="2268"/>
            <w:tcMar>
              <w:top w:w="60" w:type="dxa"/>
              <w:bottom w:w="60" w:type="dxa"/>
              <w:start w:w="100" w:type="dxa"/>
              <w:end w:w="100" w:type="dxa"/>
            </w:tcMar>
          </w:tcPr>
          <w:p>
            <w:r/>
            <w:r>
              <w:rPr>
                <w:rFonts w:ascii="Calibri" w:hAnsi="Calibri"/>
                <w:b w:val="0"/>
                <w:sz w:val="19"/>
              </w:rPr>
              <w:t>N2</w:t>
            </w:r>
          </w:p>
        </w:tc>
      </w:tr>
    </w:tbl>
    <w:p>
      <w:pPr>
        <w:spacing w:after="120"/>
      </w:pPr>
    </w:p>
    <w:p>
      <w:pPr>
        <w:spacing w:before="80" w:after="20"/>
      </w:pPr>
      <w:r>
        <w:rPr>
          <w:b/>
          <w:color w:val="1F6F78"/>
          <w:sz w:val="21"/>
        </w:rPr>
        <w:t>Description</w:t>
      </w:r>
    </w:p>
    <w:p>
      <w:pPr>
        <w:spacing w:after="120"/>
      </w:pPr>
      <w:r>
        <w:rPr>
          <w:i w:val="0"/>
        </w:rPr>
        <w:t>Le radar détecte ce qui peut casser le plan financier : cash dormant non investi, surendettement, fonds d'urgence insuffisant, dépendance à un revenu unique, immobilier trop dominant, illiquidité, dépenses fixes trop élevées. Chaque risque est mesuré par un indicateur déterministe et accompagné d'une explication et de pistes d'action.</w:t>
      </w:r>
    </w:p>
    <w:p>
      <w:pPr>
        <w:spacing w:before="80" w:after="20"/>
      </w:pPr>
      <w:r>
        <w:rPr>
          <w:b/>
          <w:color w:val="1F6F78"/>
          <w:sz w:val="21"/>
        </w:rPr>
        <w:t>Valeur métier</w:t>
      </w:r>
    </w:p>
    <w:p>
      <w:pPr>
        <w:spacing w:after="120"/>
      </w:pPr>
      <w:r>
        <w:rPr>
          <w:i w:val="0"/>
        </w:rPr>
        <w:t>Anticipe les fragilités avant qu'elles ne deviennent des problèmes, à la manière d'un contrôle technique patrimonial.</w:t>
      </w:r>
    </w:p>
    <w:p>
      <w:pPr>
        <w:spacing w:before="80" w:after="20"/>
      </w:pPr>
      <w:r>
        <w:rPr>
          <w:b/>
          <w:color w:val="1F6F78"/>
          <w:sz w:val="21"/>
        </w:rPr>
        <w:t>Histoires utilisateur</w:t>
      </w:r>
    </w:p>
    <w:p>
      <w:pPr>
        <w:pStyle w:val="ListBullet"/>
        <w:spacing w:after="40"/>
      </w:pPr>
      <w:r>
        <w:t>En tant qu'utilisateur, je veux être averti si mon fonds d'urgence est trop faible ou si je dépends trop d'un seul revenu.</w:t>
      </w:r>
    </w:p>
    <w:p>
      <w:pPr>
        <w:spacing w:before="80" w:after="20"/>
      </w:pPr>
      <w:r>
        <w:rPr>
          <w:b/>
          <w:color w:val="1F6F78"/>
          <w:sz w:val="21"/>
        </w:rPr>
        <w:t>Règles de gestion</w:t>
      </w:r>
    </w:p>
    <w:p>
      <w:pPr>
        <w:pStyle w:val="ListBullet"/>
        <w:spacing w:after="40"/>
      </w:pPr>
      <w:r>
        <w:t>Chaque risque repose sur un indicateur chiffré et un seuil documenté.</w:t>
      </w:r>
    </w:p>
    <w:p>
      <w:pPr>
        <w:pStyle w:val="ListBullet"/>
        <w:spacing w:after="40"/>
      </w:pPr>
      <w:r>
        <w:t>Les explications sont rédigées par l'IA mais les mesures viennent du moteur.</w:t>
      </w:r>
    </w:p>
    <w:p>
      <w:pPr>
        <w:pStyle w:val="ListBullet"/>
        <w:spacing w:after="40"/>
      </w:pPr>
      <w:r>
        <w:t>Les risques sont priorisés par gravité.</w:t>
      </w:r>
    </w:p>
    <w:p>
      <w:pPr>
        <w:spacing w:before="80" w:after="20"/>
      </w:pPr>
      <w:r>
        <w:rPr>
          <w:b/>
          <w:color w:val="1F6F78"/>
          <w:sz w:val="21"/>
        </w:rPr>
        <w:t>Données &amp; calculs</w:t>
      </w:r>
    </w:p>
    <w:p>
      <w:pPr>
        <w:spacing w:after="120"/>
      </w:pPr>
      <w:r>
        <w:rPr>
          <w:i w:val="0"/>
        </w:rPr>
        <w:t>Indicateurs de risque (fonds d'urgence, endettement, concentration, liquidité…).</w:t>
      </w:r>
    </w:p>
    <w:p>
      <w:pPr>
        <w:spacing w:before="80" w:after="20"/>
      </w:pPr>
      <w:r>
        <w:rPr>
          <w:b/>
          <w:color w:val="1F6F78"/>
          <w:sz w:val="21"/>
        </w:rPr>
        <w:t>Critères d'acceptation</w:t>
      </w:r>
    </w:p>
    <w:p>
      <w:pPr>
        <w:pStyle w:val="ListBullet"/>
        <w:spacing w:after="40"/>
      </w:pPr>
      <w:r>
        <w:t>Les risques détectés correspondent aux indicateurs réels.</w:t>
      </w:r>
    </w:p>
    <w:p>
      <w:pPr>
        <w:pStyle w:val="ListBullet"/>
        <w:spacing w:after="40"/>
      </w:pPr>
      <w:r>
        <w:t>Aucun chiffre de risque n'est produit hors du moteur.</w:t>
      </w:r>
    </w:p>
    <w:p>
      <w:pPr>
        <w:spacing w:after="160"/>
      </w:pPr>
    </w:p>
    <w:p>
      <w:pPr>
        <w:pStyle w:val="Heading3"/>
      </w:pPr>
      <w:r>
        <w:t>EF-062 — Bilan mensuel intelligent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S — Should (important)</w:t>
            </w:r>
          </w:p>
        </w:tc>
        <w:tc>
          <w:tcPr>
            <w:tcW w:type="dxa" w:w="1361"/>
            <w:tcMar>
              <w:top w:w="60" w:type="dxa"/>
              <w:bottom w:w="60" w:type="dxa"/>
              <w:start w:w="100" w:type="dxa"/>
              <w:end w:w="100" w:type="dxa"/>
            </w:tcMar>
          </w:tcPr>
          <w:p>
            <w:r/>
            <w:r>
              <w:rPr>
                <w:rFonts w:ascii="Calibri" w:hAnsi="Calibri"/>
                <w:b w:val="0"/>
                <w:sz w:val="19"/>
              </w:rPr>
              <w:t>P5</w:t>
            </w:r>
          </w:p>
        </w:tc>
        <w:tc>
          <w:tcPr>
            <w:tcW w:type="dxa" w:w="2608"/>
            <w:tcMar>
              <w:top w:w="60" w:type="dxa"/>
              <w:bottom w:w="60" w:type="dxa"/>
              <w:start w:w="100" w:type="dxa"/>
              <w:end w:w="100" w:type="dxa"/>
            </w:tcMar>
          </w:tcPr>
          <w:p>
            <w:r/>
            <w:r>
              <w:rPr>
                <w:rFonts w:ascii="Calibri" w:hAnsi="Calibri"/>
                <w:b w:val="0"/>
                <w:sz w:val="19"/>
              </w:rPr>
              <w:t>Transverse</w:t>
            </w:r>
          </w:p>
        </w:tc>
        <w:tc>
          <w:tcPr>
            <w:tcW w:type="dxa" w:w="2268"/>
            <w:tcMar>
              <w:top w:w="60" w:type="dxa"/>
              <w:bottom w:w="60" w:type="dxa"/>
              <w:start w:w="100" w:type="dxa"/>
              <w:end w:w="100" w:type="dxa"/>
            </w:tcMar>
          </w:tcPr>
          <w:p>
            <w:r/>
            <w:r>
              <w:rPr>
                <w:rFonts w:ascii="Calibri" w:hAnsi="Calibri"/>
                <w:b w:val="0"/>
                <w:sz w:val="19"/>
              </w:rPr>
              <w:t>N2</w:t>
            </w:r>
          </w:p>
        </w:tc>
      </w:tr>
    </w:tbl>
    <w:p>
      <w:pPr>
        <w:spacing w:after="120"/>
      </w:pPr>
    </w:p>
    <w:p>
      <w:pPr>
        <w:spacing w:before="80" w:after="20"/>
      </w:pPr>
      <w:r>
        <w:rPr>
          <w:b/>
          <w:color w:val="1F6F78"/>
          <w:sz w:val="21"/>
        </w:rPr>
        <w:t>Description</w:t>
      </w:r>
    </w:p>
    <w:p>
      <w:pPr>
        <w:spacing w:after="120"/>
      </w:pPr>
      <w:r>
        <w:rPr>
          <w:i w:val="0"/>
        </w:rPr>
        <w:t>En fin de mois, l'app produit un résumé humain rédigé par l'IA : variation du patrimoine, taux d'épargne, dépenses inutiles repérées, meilleure décision du mois, point faible à surveiller. Les chiffres proviennent du moteur ; l'IA assure la narration claire et personnalisée. Le bilan complet s'exécute de préférence sur le homelab (niveau 2).</w:t>
      </w:r>
    </w:p>
    <w:p>
      <w:pPr>
        <w:spacing w:before="80" w:after="20"/>
      </w:pPr>
      <w:r>
        <w:rPr>
          <w:b/>
          <w:color w:val="1F6F78"/>
          <w:sz w:val="21"/>
        </w:rPr>
        <w:t>Valeur métier</w:t>
      </w:r>
    </w:p>
    <w:p>
      <w:pPr>
        <w:spacing w:after="120"/>
      </w:pPr>
      <w:r>
        <w:rPr>
          <w:i w:val="0"/>
        </w:rPr>
        <w:t>Transforme les données du mois en récit actionnable, à la manière d'un point mensuel avec un conseiller.</w:t>
      </w:r>
    </w:p>
    <w:p>
      <w:pPr>
        <w:spacing w:before="80" w:after="20"/>
      </w:pPr>
      <w:r>
        <w:rPr>
          <w:b/>
          <w:color w:val="1F6F78"/>
          <w:sz w:val="21"/>
        </w:rPr>
        <w:t>Histoires utilisateur</w:t>
      </w:r>
    </w:p>
    <w:p>
      <w:pPr>
        <w:pStyle w:val="ListBullet"/>
        <w:spacing w:after="40"/>
      </w:pPr>
      <w:r>
        <w:t>En tant qu'utilisateur, je veux un résumé clair de mon mois financier sans avoir à fouiller les chiffres.</w:t>
      </w:r>
    </w:p>
    <w:p>
      <w:pPr>
        <w:spacing w:before="80" w:after="20"/>
      </w:pPr>
      <w:r>
        <w:rPr>
          <w:b/>
          <w:color w:val="1F6F78"/>
          <w:sz w:val="21"/>
        </w:rPr>
        <w:t>Règles de gestion</w:t>
      </w:r>
    </w:p>
    <w:p>
      <w:pPr>
        <w:pStyle w:val="ListBullet"/>
        <w:spacing w:after="40"/>
      </w:pPr>
      <w:r>
        <w:t>Tous les chiffres du bilan proviennent du moteur déterministe.</w:t>
      </w:r>
    </w:p>
    <w:p>
      <w:pPr>
        <w:pStyle w:val="ListBullet"/>
        <w:spacing w:after="40"/>
      </w:pPr>
      <w:r>
        <w:t>La rédaction est assurée par l'IA (niveau 2 de préférence).</w:t>
      </w:r>
    </w:p>
    <w:p>
      <w:pPr>
        <w:pStyle w:val="ListBullet"/>
        <w:spacing w:after="40"/>
      </w:pPr>
      <w:r>
        <w:t>Le bilan couvre patrimoine, épargne, dépenses, décision et point faible.</w:t>
      </w:r>
    </w:p>
    <w:p>
      <w:pPr>
        <w:spacing w:before="80" w:after="20"/>
      </w:pPr>
      <w:r>
        <w:rPr>
          <w:b/>
          <w:color w:val="1F6F78"/>
          <w:sz w:val="21"/>
        </w:rPr>
        <w:t>Données &amp; calculs</w:t>
      </w:r>
    </w:p>
    <w:p>
      <w:pPr>
        <w:spacing w:after="120"/>
      </w:pPr>
      <w:r>
        <w:rPr>
          <w:i w:val="0"/>
        </w:rPr>
        <w:t>Agrégats mensuels (patrimoine, épargne, dépenses) ; texte généré.</w:t>
      </w:r>
    </w:p>
    <w:p>
      <w:pPr>
        <w:spacing w:before="80" w:after="20"/>
      </w:pPr>
      <w:r>
        <w:rPr>
          <w:b/>
          <w:color w:val="1F6F78"/>
          <w:sz w:val="21"/>
        </w:rPr>
        <w:t>Critères d'acceptation</w:t>
      </w:r>
    </w:p>
    <w:p>
      <w:pPr>
        <w:pStyle w:val="ListBullet"/>
        <w:spacing w:after="40"/>
      </w:pPr>
      <w:r>
        <w:t>Les chiffres du bilan sont exacts ; la narration ne contient aucun chiffre inventé.</w:t>
      </w:r>
    </w:p>
    <w:p>
      <w:pPr>
        <w:spacing w:after="160"/>
      </w:pPr>
    </w:p>
    <w:p>
      <w:pPr>
        <w:pStyle w:val="Heading3"/>
      </w:pPr>
      <w:r>
        <w:t>EF-063 — Plan de transmission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C — Could (souhaitable)</w:t>
            </w:r>
          </w:p>
        </w:tc>
        <w:tc>
          <w:tcPr>
            <w:tcW w:type="dxa" w:w="1361"/>
            <w:tcMar>
              <w:top w:w="60" w:type="dxa"/>
              <w:bottom w:w="60" w:type="dxa"/>
              <w:start w:w="100" w:type="dxa"/>
              <w:end w:w="100" w:type="dxa"/>
            </w:tcMar>
          </w:tcPr>
          <w:p>
            <w:r/>
            <w:r>
              <w:rPr>
                <w:rFonts w:ascii="Calibri" w:hAnsi="Calibri"/>
                <w:b w:val="0"/>
                <w:sz w:val="19"/>
              </w:rPr>
              <w:t>P6</w:t>
            </w:r>
          </w:p>
        </w:tc>
        <w:tc>
          <w:tcPr>
            <w:tcW w:type="dxa" w:w="2608"/>
            <w:tcMar>
              <w:top w:w="60" w:type="dxa"/>
              <w:bottom w:w="60" w:type="dxa"/>
              <w:start w:w="100" w:type="dxa"/>
              <w:end w:w="100" w:type="dxa"/>
            </w:tcMar>
          </w:tcPr>
          <w:p>
            <w:r/>
            <w:r>
              <w:rPr>
                <w:rFonts w:ascii="Calibri" w:hAnsi="Calibri"/>
                <w:b w:val="0"/>
                <w:sz w:val="19"/>
              </w:rPr>
              <w:t>Transverse</w:t>
            </w:r>
          </w:p>
        </w:tc>
        <w:tc>
          <w:tcPr>
            <w:tcW w:type="dxa" w:w="2268"/>
            <w:tcMar>
              <w:top w:w="60" w:type="dxa"/>
              <w:bottom w:w="60" w:type="dxa"/>
              <w:start w:w="100" w:type="dxa"/>
              <w:end w:w="100" w:type="dxa"/>
            </w:tcMar>
          </w:tcPr>
          <w:p>
            <w:r/>
            <w:r>
              <w:rPr>
                <w:rFonts w:ascii="Calibri" w:hAnsi="Calibri"/>
                <w:b w:val="0"/>
                <w:sz w:val="19"/>
              </w:rPr>
              <w:t>N3</w:t>
            </w:r>
          </w:p>
        </w:tc>
      </w:tr>
    </w:tbl>
    <w:p>
      <w:pPr>
        <w:spacing w:after="120"/>
      </w:pPr>
    </w:p>
    <w:p>
      <w:pPr>
        <w:spacing w:before="80" w:after="20"/>
      </w:pPr>
      <w:r>
        <w:rPr>
          <w:b/>
          <w:color w:val="1F6F78"/>
          <w:sz w:val="21"/>
        </w:rPr>
        <w:t>Description</w:t>
      </w:r>
    </w:p>
    <w:p>
      <w:pPr>
        <w:spacing w:after="120"/>
      </w:pPr>
      <w:r>
        <w:rPr>
          <w:i w:val="0"/>
        </w:rPr>
        <w:t>Un mode succession/famille regroupe les éléments de transmission : contrats importants, bénéficiaires d'assurance-vie, biens et dettes, documents clés, contacts (notaire, banque, assurance) et accès d'urgence pour un proche de confiance. Les données sont strictement locales (N3) et chiffrées.</w:t>
      </w:r>
    </w:p>
    <w:p>
      <w:pPr>
        <w:spacing w:before="80" w:after="20"/>
      </w:pPr>
      <w:r>
        <w:rPr>
          <w:b/>
          <w:color w:val="1F6F78"/>
          <w:sz w:val="21"/>
        </w:rPr>
        <w:t>Valeur métier</w:t>
      </w:r>
    </w:p>
    <w:p>
      <w:pPr>
        <w:spacing w:after="120"/>
      </w:pPr>
      <w:r>
        <w:rPr>
          <w:i w:val="0"/>
        </w:rPr>
        <w:t>Adresse un besoin rarement couvert et très différenciant : préparer sereinement la transmission.</w:t>
      </w:r>
    </w:p>
    <w:p>
      <w:pPr>
        <w:spacing w:before="80" w:after="20"/>
      </w:pPr>
      <w:r>
        <w:rPr>
          <w:b/>
          <w:color w:val="1F6F78"/>
          <w:sz w:val="21"/>
        </w:rPr>
        <w:t>Histoires utilisateur</w:t>
      </w:r>
    </w:p>
    <w:p>
      <w:pPr>
        <w:pStyle w:val="ListBullet"/>
        <w:spacing w:after="40"/>
      </w:pPr>
      <w:r>
        <w:t>En tant qu'utilisateur, je veux préparer la transmission de mon patrimoine et désigner un accès d'urgence.</w:t>
      </w:r>
    </w:p>
    <w:p>
      <w:pPr>
        <w:pStyle w:val="ListBullet"/>
        <w:spacing w:after="40"/>
      </w:pPr>
      <w:r>
        <w:t>En tant que proche de confiance, je veux pouvoir accéder aux informations essentielles en cas de besoin.</w:t>
      </w:r>
    </w:p>
    <w:p>
      <w:pPr>
        <w:spacing w:before="80" w:after="20"/>
      </w:pPr>
      <w:r>
        <w:rPr>
          <w:b/>
          <w:color w:val="1F6F78"/>
          <w:sz w:val="21"/>
        </w:rPr>
        <w:t>Règles de gestion</w:t>
      </w:r>
    </w:p>
    <w:p>
      <w:pPr>
        <w:pStyle w:val="ListBullet"/>
        <w:spacing w:after="40"/>
      </w:pPr>
      <w:r>
        <w:t>Les données de transmission sont classées N3 (jamais envoyées au cloud).</w:t>
      </w:r>
    </w:p>
    <w:p>
      <w:pPr>
        <w:pStyle w:val="ListBullet"/>
        <w:spacing w:after="40"/>
      </w:pPr>
      <w:r>
        <w:t>L'accès d'urgence est encadré, restreint et traçable.</w:t>
      </w:r>
    </w:p>
    <w:p>
      <w:pPr>
        <w:pStyle w:val="ListBullet"/>
        <w:spacing w:after="40"/>
      </w:pPr>
      <w:r>
        <w:t>Les bénéficiaires et contacts sont structurés et associés aux contrats/biens.</w:t>
      </w:r>
    </w:p>
    <w:p>
      <w:pPr>
        <w:spacing w:before="80" w:after="20"/>
      </w:pPr>
      <w:r>
        <w:rPr>
          <w:b/>
          <w:color w:val="1F6F78"/>
          <w:sz w:val="21"/>
        </w:rPr>
        <w:t>Données &amp; calculs</w:t>
      </w:r>
    </w:p>
    <w:p>
      <w:pPr>
        <w:spacing w:after="120"/>
      </w:pPr>
      <w:r>
        <w:rPr>
          <w:i w:val="0"/>
        </w:rPr>
        <w:t>Entités Beneficiary, Contact ; documents N3 ; règles d'accès d'urgence.</w:t>
      </w:r>
    </w:p>
    <w:p>
      <w:pPr>
        <w:spacing w:before="80" w:after="20"/>
      </w:pPr>
      <w:r>
        <w:rPr>
          <w:b/>
          <w:color w:val="1F6F78"/>
          <w:sz w:val="21"/>
        </w:rPr>
        <w:t>Critères d'acceptation</w:t>
      </w:r>
    </w:p>
    <w:p>
      <w:pPr>
        <w:pStyle w:val="ListBullet"/>
        <w:spacing w:after="40"/>
      </w:pPr>
      <w:r>
        <w:t>Les éléments de transmission sont conservés localement et chiffrés.</w:t>
      </w:r>
    </w:p>
    <w:p>
      <w:pPr>
        <w:pStyle w:val="ListBullet"/>
        <w:spacing w:after="40"/>
      </w:pPr>
      <w:r>
        <w:t>L'accès d'urgence respecte les restrictions définies.</w:t>
      </w:r>
    </w:p>
    <w:p>
      <w:pPr>
        <w:spacing w:after="160"/>
      </w:pPr>
    </w:p>
    <w:p>
      <w:pPr>
        <w:pStyle w:val="Heading3"/>
      </w:pPr>
      <w:r>
        <w:t>EF-064 — Coffre-fort patrimonial</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C — Could (souhaitable)</w:t>
            </w:r>
          </w:p>
        </w:tc>
        <w:tc>
          <w:tcPr>
            <w:tcW w:type="dxa" w:w="1361"/>
            <w:tcMar>
              <w:top w:w="60" w:type="dxa"/>
              <w:bottom w:w="60" w:type="dxa"/>
              <w:start w:w="100" w:type="dxa"/>
              <w:end w:w="100" w:type="dxa"/>
            </w:tcMar>
          </w:tcPr>
          <w:p>
            <w:r/>
            <w:r>
              <w:rPr>
                <w:rFonts w:ascii="Calibri" w:hAnsi="Calibri"/>
                <w:b w:val="0"/>
                <w:sz w:val="19"/>
              </w:rPr>
              <w:t>P6</w:t>
            </w:r>
          </w:p>
        </w:tc>
        <w:tc>
          <w:tcPr>
            <w:tcW w:type="dxa" w:w="2608"/>
            <w:tcMar>
              <w:top w:w="60" w:type="dxa"/>
              <w:bottom w:w="60" w:type="dxa"/>
              <w:start w:w="100" w:type="dxa"/>
              <w:end w:w="100" w:type="dxa"/>
            </w:tcMar>
          </w:tcPr>
          <w:p>
            <w:r/>
            <w:r>
              <w:rPr>
                <w:rFonts w:ascii="Calibri" w:hAnsi="Calibri"/>
                <w:b w:val="0"/>
                <w:sz w:val="19"/>
              </w:rPr>
              <w:t>Transverse</w:t>
            </w:r>
          </w:p>
        </w:tc>
        <w:tc>
          <w:tcPr>
            <w:tcW w:type="dxa" w:w="2268"/>
            <w:tcMar>
              <w:top w:w="60" w:type="dxa"/>
              <w:bottom w:w="60" w:type="dxa"/>
              <w:start w:w="100" w:type="dxa"/>
              <w:end w:w="100" w:type="dxa"/>
            </w:tcMar>
          </w:tcPr>
          <w:p>
            <w:r/>
            <w:r>
              <w:rPr>
                <w:rFonts w:ascii="Calibri" w:hAnsi="Calibri"/>
                <w:b w:val="0"/>
                <w:sz w:val="19"/>
              </w:rPr>
              <w:t>N3</w:t>
            </w:r>
          </w:p>
        </w:tc>
      </w:tr>
    </w:tbl>
    <w:p>
      <w:pPr>
        <w:spacing w:after="120"/>
      </w:pPr>
    </w:p>
    <w:p>
      <w:pPr>
        <w:spacing w:before="80" w:after="20"/>
      </w:pPr>
      <w:r>
        <w:rPr>
          <w:b/>
          <w:color w:val="1F6F78"/>
          <w:sz w:val="21"/>
        </w:rPr>
        <w:t>Description</w:t>
      </w:r>
    </w:p>
    <w:p>
      <w:pPr>
        <w:spacing w:after="120"/>
      </w:pPr>
      <w:r>
        <w:rPr>
          <w:i w:val="0"/>
        </w:rPr>
        <w:t>Un coffre-fort chiffré stocke les documents patrimoniaux : actes, contrats d'assurance-vie, carte grise, passeport, testament, diagnostics, factures. Chaque document porte un niveau de confidentialité (par défaut N3) et n'est jamais envoyé au cloud. Les documents peuvent être liés à des actifs ou à des éléments de transmission.</w:t>
      </w:r>
    </w:p>
    <w:p>
      <w:pPr>
        <w:spacing w:before="80" w:after="20"/>
      </w:pPr>
      <w:r>
        <w:rPr>
          <w:b/>
          <w:color w:val="1F6F78"/>
          <w:sz w:val="21"/>
        </w:rPr>
        <w:t>Valeur métier</w:t>
      </w:r>
    </w:p>
    <w:p>
      <w:pPr>
        <w:spacing w:after="120"/>
      </w:pPr>
      <w:r>
        <w:rPr>
          <w:i w:val="0"/>
        </w:rPr>
        <w:t>Centralise en sécurité les pièces essentielles, utiles au quotidien comme en cas de sinistre ou de succession.</w:t>
      </w:r>
    </w:p>
    <w:p>
      <w:pPr>
        <w:spacing w:before="80" w:after="20"/>
      </w:pPr>
      <w:r>
        <w:rPr>
          <w:b/>
          <w:color w:val="1F6F78"/>
          <w:sz w:val="21"/>
        </w:rPr>
        <w:t>Histoires utilisateur</w:t>
      </w:r>
    </w:p>
    <w:p>
      <w:pPr>
        <w:pStyle w:val="ListBullet"/>
        <w:spacing w:after="40"/>
      </w:pPr>
      <w:r>
        <w:t>En tant qu'utilisateur, je veux ranger mes documents importants dans un coffre chiffré et privé.</w:t>
      </w:r>
    </w:p>
    <w:p>
      <w:pPr>
        <w:spacing w:before="80" w:after="20"/>
      </w:pPr>
      <w:r>
        <w:rPr>
          <w:b/>
          <w:color w:val="1F6F78"/>
          <w:sz w:val="21"/>
        </w:rPr>
        <w:t>Règles de gestion</w:t>
      </w:r>
    </w:p>
    <w:p>
      <w:pPr>
        <w:pStyle w:val="ListBullet"/>
        <w:spacing w:after="40"/>
      </w:pPr>
      <w:r>
        <w:t>Les documents sont chiffrés au repos et classés par niveau de confidentialité.</w:t>
      </w:r>
    </w:p>
    <w:p>
      <w:pPr>
        <w:pStyle w:val="ListBullet"/>
        <w:spacing w:after="40"/>
      </w:pPr>
      <w:r>
        <w:t>Par défaut, un document est N3 (cloud interdit).</w:t>
      </w:r>
    </w:p>
    <w:p>
      <w:pPr>
        <w:pStyle w:val="ListBullet"/>
        <w:spacing w:after="40"/>
      </w:pPr>
      <w:r>
        <w:t>Un document peut être rattaché à un actif ou à un contact/bénéficiaire.</w:t>
      </w:r>
    </w:p>
    <w:p>
      <w:pPr>
        <w:spacing w:before="80" w:after="20"/>
      </w:pPr>
      <w:r>
        <w:rPr>
          <w:b/>
          <w:color w:val="1F6F78"/>
          <w:sz w:val="21"/>
        </w:rPr>
        <w:t>Données &amp; calculs</w:t>
      </w:r>
    </w:p>
    <w:p>
      <w:pPr>
        <w:spacing w:after="120"/>
      </w:pPr>
      <w:r>
        <w:rPr>
          <w:i w:val="0"/>
        </w:rPr>
        <w:t>Entité Document (type, niveau de confidentialité, liens) ; stockage chiffré.</w:t>
      </w:r>
    </w:p>
    <w:p>
      <w:pPr>
        <w:spacing w:before="80" w:after="20"/>
      </w:pPr>
      <w:r>
        <w:rPr>
          <w:b/>
          <w:color w:val="1F6F78"/>
          <w:sz w:val="21"/>
        </w:rPr>
        <w:t>Critères d'acceptation</w:t>
      </w:r>
    </w:p>
    <w:p>
      <w:pPr>
        <w:pStyle w:val="ListBullet"/>
        <w:spacing w:after="40"/>
      </w:pPr>
      <w:r>
        <w:t>Un document ajouté est chiffré et n'est jamais transmis au cloud.</w:t>
      </w:r>
    </w:p>
    <w:p>
      <w:pPr>
        <w:pStyle w:val="ListBullet"/>
        <w:spacing w:after="40"/>
      </w:pPr>
      <w:r>
        <w:t>Les liens vers les actifs et la transmission fonctionnent.</w:t>
      </w:r>
    </w:p>
    <w:p>
      <w:pPr>
        <w:spacing w:after="160"/>
      </w:pPr>
    </w:p>
    <w:p>
      <w:pPr>
        <w:pStyle w:val="Heading2"/>
      </w:pPr>
      <w:r>
        <w:t>7.8 Données bancaires &amp; intégrations</w:t>
      </w:r>
    </w:p>
    <w:p>
      <w:pPr>
        <w:spacing w:after="120"/>
      </w:pPr>
      <w:r>
        <w:rPr>
          <w:i/>
          <w:color w:val="5B6670"/>
        </w:rPr>
        <w:t>Les canaux d'alimentation des données, du manuel à l'automatique.</w:t>
      </w:r>
    </w:p>
    <w:p>
      <w:pPr>
        <w:pStyle w:val="Heading3"/>
      </w:pPr>
      <w:r>
        <w:t>EF-070 — Import manuel CSV/OFX</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M — Must (indispensable)</w:t>
            </w:r>
          </w:p>
        </w:tc>
        <w:tc>
          <w:tcPr>
            <w:tcW w:type="dxa" w:w="1361"/>
            <w:tcMar>
              <w:top w:w="60" w:type="dxa"/>
              <w:bottom w:w="60" w:type="dxa"/>
              <w:start w:w="100" w:type="dxa"/>
              <w:end w:w="100" w:type="dxa"/>
            </w:tcMar>
          </w:tcPr>
          <w:p>
            <w:r/>
            <w:r>
              <w:rPr>
                <w:rFonts w:ascii="Calibri" w:hAnsi="Calibri"/>
                <w:b w:val="0"/>
                <w:sz w:val="19"/>
              </w:rPr>
              <w:t>P3</w:t>
            </w:r>
          </w:p>
        </w:tc>
        <w:tc>
          <w:tcPr>
            <w:tcW w:type="dxa" w:w="2608"/>
            <w:tcMar>
              <w:top w:w="60" w:type="dxa"/>
              <w:bottom w:w="60" w:type="dxa"/>
              <w:start w:w="100" w:type="dxa"/>
              <w:end w:w="100" w:type="dxa"/>
            </w:tcMar>
          </w:tcPr>
          <w:p>
            <w:r/>
            <w:r>
              <w:rPr>
                <w:rFonts w:ascii="Calibri" w:hAnsi="Calibri"/>
                <w:b w:val="0"/>
                <w:sz w:val="19"/>
              </w:rPr>
              <w:t>Intégrations</w:t>
            </w:r>
          </w:p>
        </w:tc>
        <w:tc>
          <w:tcPr>
            <w:tcW w:type="dxa" w:w="2268"/>
            <w:tcMar>
              <w:top w:w="60" w:type="dxa"/>
              <w:bottom w:w="60" w:type="dxa"/>
              <w:start w:w="100" w:type="dxa"/>
              <w:end w:w="100" w:type="dxa"/>
            </w:tcMar>
          </w:tcPr>
          <w:p>
            <w:r/>
            <w:r>
              <w:rPr>
                <w:rFonts w:ascii="Calibri" w:hAnsi="Calibri"/>
                <w:b w:val="0"/>
                <w:sz w:val="19"/>
              </w:rPr>
              <w:t>N1</w:t>
            </w:r>
          </w:p>
        </w:tc>
      </w:tr>
    </w:tbl>
    <w:p>
      <w:pPr>
        <w:spacing w:after="120"/>
      </w:pPr>
    </w:p>
    <w:p>
      <w:pPr>
        <w:spacing w:before="80" w:after="20"/>
      </w:pPr>
      <w:r>
        <w:rPr>
          <w:b/>
          <w:color w:val="1F6F78"/>
          <w:sz w:val="21"/>
        </w:rPr>
        <w:t>Description</w:t>
      </w:r>
    </w:p>
    <w:p>
      <w:pPr>
        <w:spacing w:after="120"/>
      </w:pPr>
      <w:r>
        <w:rPr>
          <w:i w:val="0"/>
        </w:rPr>
        <w:t>Reprend et formalise l'import manuel de relevés (voir EF-021) comme canal principal d'alimentation des transactions, indépendant de toute API bancaire. Il garantit que l'utilisateur peut alimenter Opale même sans connecteur, à partir des exports standard de sa banque.</w:t>
      </w:r>
    </w:p>
    <w:p>
      <w:pPr>
        <w:spacing w:before="80" w:after="20"/>
      </w:pPr>
      <w:r>
        <w:rPr>
          <w:b/>
          <w:color w:val="1F6F78"/>
          <w:sz w:val="21"/>
        </w:rPr>
        <w:t>Valeur métier</w:t>
      </w:r>
    </w:p>
    <w:p>
      <w:pPr>
        <w:spacing w:after="120"/>
      </w:pPr>
      <w:r>
        <w:rPr>
          <w:i w:val="0"/>
        </w:rPr>
        <w:t>Assure l'autonomie de l'app vis-à-vis des agrégateurs et la robustesse de l'alimentation des données.</w:t>
      </w:r>
    </w:p>
    <w:p>
      <w:pPr>
        <w:spacing w:before="80" w:after="20"/>
      </w:pPr>
      <w:r>
        <w:rPr>
          <w:b/>
          <w:color w:val="1F6F78"/>
          <w:sz w:val="21"/>
        </w:rPr>
        <w:t>Histoires utilisateur</w:t>
      </w:r>
    </w:p>
    <w:p>
      <w:pPr>
        <w:pStyle w:val="ListBullet"/>
        <w:spacing w:after="40"/>
      </w:pPr>
      <w:r>
        <w:t>En tant qu'utilisateur, je veux toujours pouvoir importer mes opérations sans dépendre d'une connexion bancaire.</w:t>
      </w:r>
    </w:p>
    <w:p>
      <w:pPr>
        <w:spacing w:before="80" w:after="20"/>
      </w:pPr>
      <w:r>
        <w:rPr>
          <w:b/>
          <w:color w:val="1F6F78"/>
          <w:sz w:val="21"/>
        </w:rPr>
        <w:t>Règles de gestion</w:t>
      </w:r>
    </w:p>
    <w:p>
      <w:pPr>
        <w:pStyle w:val="ListBullet"/>
        <w:spacing w:after="40"/>
      </w:pPr>
      <w:r>
        <w:t>Les formats CSV et OFX sont supportés.</w:t>
      </w:r>
    </w:p>
    <w:p>
      <w:pPr>
        <w:pStyle w:val="ListBullet"/>
        <w:spacing w:after="40"/>
      </w:pPr>
      <w:r>
        <w:t>Le canal manuel reste disponible même quand la synchro automatique existe.</w:t>
      </w:r>
    </w:p>
    <w:p>
      <w:pPr>
        <w:pStyle w:val="ListBullet"/>
        <w:spacing w:after="40"/>
      </w:pPr>
      <w:r>
        <w:t>Les montants sont convertis en centimes entiers.</w:t>
      </w:r>
    </w:p>
    <w:p>
      <w:pPr>
        <w:spacing w:before="80" w:after="20"/>
      </w:pPr>
      <w:r>
        <w:rPr>
          <w:b/>
          <w:color w:val="1F6F78"/>
          <w:sz w:val="21"/>
        </w:rPr>
        <w:t>Données &amp; calculs</w:t>
      </w:r>
    </w:p>
    <w:p>
      <w:pPr>
        <w:spacing w:after="120"/>
      </w:pPr>
      <w:r>
        <w:rPr>
          <w:i w:val="0"/>
        </w:rPr>
        <w:t>Fichiers CSV/OFX ; transactions importées.</w:t>
      </w:r>
    </w:p>
    <w:p>
      <w:pPr>
        <w:spacing w:before="80" w:after="20"/>
      </w:pPr>
      <w:r>
        <w:rPr>
          <w:b/>
          <w:color w:val="1F6F78"/>
          <w:sz w:val="21"/>
        </w:rPr>
        <w:t>Critères d'acceptation</w:t>
      </w:r>
    </w:p>
    <w:p>
      <w:pPr>
        <w:pStyle w:val="ListBullet"/>
        <w:spacing w:after="40"/>
      </w:pPr>
      <w:r>
        <w:t>L'import manuel fonctionne indépendamment de toute API externe.</w:t>
      </w:r>
    </w:p>
    <w:p>
      <w:pPr>
        <w:spacing w:after="160"/>
      </w:pPr>
    </w:p>
    <w:p>
      <w:pPr>
        <w:pStyle w:val="Heading3"/>
      </w:pPr>
      <w:r>
        <w:t>EF-071 — Synchronisation bancaire automatique (GoCardless / DSP2)</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C — Could (souhaitable)</w:t>
            </w:r>
          </w:p>
        </w:tc>
        <w:tc>
          <w:tcPr>
            <w:tcW w:type="dxa" w:w="1361"/>
            <w:tcMar>
              <w:top w:w="60" w:type="dxa"/>
              <w:bottom w:w="60" w:type="dxa"/>
              <w:start w:w="100" w:type="dxa"/>
              <w:end w:w="100" w:type="dxa"/>
            </w:tcMar>
          </w:tcPr>
          <w:p>
            <w:r/>
            <w:r>
              <w:rPr>
                <w:rFonts w:ascii="Calibri" w:hAnsi="Calibri"/>
                <w:b w:val="0"/>
                <w:sz w:val="19"/>
              </w:rPr>
              <w:t>P7</w:t>
            </w:r>
          </w:p>
        </w:tc>
        <w:tc>
          <w:tcPr>
            <w:tcW w:type="dxa" w:w="2608"/>
            <w:tcMar>
              <w:top w:w="60" w:type="dxa"/>
              <w:bottom w:w="60" w:type="dxa"/>
              <w:start w:w="100" w:type="dxa"/>
              <w:end w:w="100" w:type="dxa"/>
            </w:tcMar>
          </w:tcPr>
          <w:p>
            <w:r/>
            <w:r>
              <w:rPr>
                <w:rFonts w:ascii="Calibri" w:hAnsi="Calibri"/>
                <w:b w:val="0"/>
                <w:sz w:val="19"/>
              </w:rPr>
              <w:t>Intégrations</w:t>
            </w:r>
          </w:p>
        </w:tc>
        <w:tc>
          <w:tcPr>
            <w:tcW w:type="dxa" w:w="2268"/>
            <w:tcMar>
              <w:top w:w="60" w:type="dxa"/>
              <w:bottom w:w="60" w:type="dxa"/>
              <w:start w:w="100" w:type="dxa"/>
              <w:end w:w="100" w:type="dxa"/>
            </w:tcMar>
          </w:tcPr>
          <w:p>
            <w:r/>
            <w:r>
              <w:rPr>
                <w:rFonts w:ascii="Calibri" w:hAnsi="Calibri"/>
                <w:b w:val="0"/>
                <w:sz w:val="19"/>
              </w:rPr>
              <w:t>N1</w:t>
            </w:r>
          </w:p>
        </w:tc>
      </w:tr>
    </w:tbl>
    <w:p>
      <w:pPr>
        <w:spacing w:after="120"/>
      </w:pPr>
    </w:p>
    <w:p>
      <w:pPr>
        <w:spacing w:before="80" w:after="20"/>
      </w:pPr>
      <w:r>
        <w:rPr>
          <w:b/>
          <w:color w:val="1F6F78"/>
          <w:sz w:val="21"/>
        </w:rPr>
        <w:t>Description</w:t>
      </w:r>
    </w:p>
    <w:p>
      <w:pPr>
        <w:spacing w:after="120"/>
      </w:pPr>
      <w:r>
        <w:rPr>
          <w:i w:val="0"/>
        </w:rPr>
        <w:t>À terme, une synchronisation bancaire automatique via GoCardless Bank Account Data (DSP2, gratuit) récupère les transactions sans saisie. L'agrégation reste optionnelle et l'import manuel demeure le filet de sécurité. Les identifiants et jetons d'accès sont conservés en sécurité, hors du code.</w:t>
      </w:r>
    </w:p>
    <w:p>
      <w:pPr>
        <w:spacing w:before="80" w:after="20"/>
      </w:pPr>
      <w:r>
        <w:rPr>
          <w:b/>
          <w:color w:val="1F6F78"/>
          <w:sz w:val="21"/>
        </w:rPr>
        <w:t>Valeur métier</w:t>
      </w:r>
    </w:p>
    <w:p>
      <w:pPr>
        <w:spacing w:after="120"/>
      </w:pPr>
      <w:r>
        <w:rPr>
          <w:i w:val="0"/>
        </w:rPr>
        <w:t>Apporte le confort de l'automatisation une fois le cœur du produit solide, sans sacrifier la robustesse ni la confidentialité.</w:t>
      </w:r>
    </w:p>
    <w:p>
      <w:pPr>
        <w:spacing w:before="80" w:after="20"/>
      </w:pPr>
      <w:r>
        <w:rPr>
          <w:b/>
          <w:color w:val="1F6F78"/>
          <w:sz w:val="21"/>
        </w:rPr>
        <w:t>Histoires utilisateur</w:t>
      </w:r>
    </w:p>
    <w:p>
      <w:pPr>
        <w:pStyle w:val="ListBullet"/>
        <w:spacing w:after="40"/>
      </w:pPr>
      <w:r>
        <w:t>En tant qu'utilisateur, je veux que mes transactions arrivent automatiquement sans import manuel.</w:t>
      </w:r>
    </w:p>
    <w:p>
      <w:pPr>
        <w:spacing w:before="80" w:after="20"/>
      </w:pPr>
      <w:r>
        <w:rPr>
          <w:b/>
          <w:color w:val="1F6F78"/>
          <w:sz w:val="21"/>
        </w:rPr>
        <w:t>Règles de gestion</w:t>
      </w:r>
    </w:p>
    <w:p>
      <w:pPr>
        <w:pStyle w:val="ListBullet"/>
        <w:spacing w:after="40"/>
      </w:pPr>
      <w:r>
        <w:t>La synchro s'appuie sur GoCardless (DSP2) et reste optionnelle.</w:t>
      </w:r>
    </w:p>
    <w:p>
      <w:pPr>
        <w:pStyle w:val="ListBullet"/>
        <w:spacing w:after="40"/>
      </w:pPr>
      <w:r>
        <w:t>Les secrets d'accès sont stockés hors code (variables d'environnement/coffre).</w:t>
      </w:r>
    </w:p>
    <w:p>
      <w:pPr>
        <w:pStyle w:val="ListBullet"/>
        <w:spacing w:after="40"/>
      </w:pPr>
      <w:r>
        <w:t>L'import manuel reste disponible en repli.</w:t>
      </w:r>
    </w:p>
    <w:p>
      <w:pPr>
        <w:spacing w:before="80" w:after="20"/>
      </w:pPr>
      <w:r>
        <w:rPr>
          <w:b/>
          <w:color w:val="1F6F78"/>
          <w:sz w:val="21"/>
        </w:rPr>
        <w:t>Données &amp; calculs</w:t>
      </w:r>
    </w:p>
    <w:p>
      <w:pPr>
        <w:spacing w:after="120"/>
      </w:pPr>
      <w:r>
        <w:rPr>
          <w:i w:val="0"/>
        </w:rPr>
        <w:t>Connexion GoCardless ; jetons d'accès sécurisés ; transactions synchronisées.</w:t>
      </w:r>
    </w:p>
    <w:p>
      <w:pPr>
        <w:spacing w:before="80" w:after="20"/>
      </w:pPr>
      <w:r>
        <w:rPr>
          <w:b/>
          <w:color w:val="1F6F78"/>
          <w:sz w:val="21"/>
        </w:rPr>
        <w:t>Critères d'acceptation</w:t>
      </w:r>
    </w:p>
    <w:p>
      <w:pPr>
        <w:pStyle w:val="ListBullet"/>
        <w:spacing w:after="40"/>
      </w:pPr>
      <w:r>
        <w:t>La synchro alimente les transactions sans saisie, avec dédoublonnage.</w:t>
      </w:r>
    </w:p>
    <w:p>
      <w:pPr>
        <w:pStyle w:val="ListBullet"/>
        <w:spacing w:after="40"/>
      </w:pPr>
      <w:r>
        <w:t>En cas d'indisponibilité, l'import manuel prend le relais.</w:t>
      </w:r>
    </w:p>
    <w:p>
      <w:pPr>
        <w:spacing w:after="160"/>
      </w:pPr>
    </w:p>
    <w:p>
      <w:pPr>
        <w:pStyle w:val="Heading3"/>
      </w:pPr>
      <w:r>
        <w:t>EF-072 — Saisie et mise à jour manuelle des actifs non bancaires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6F78"/>
            <w:tcMar>
              <w:top w:w="60" w:type="dxa"/>
              <w:bottom w:w="60" w:type="dxa"/>
              <w:start w:w="100" w:type="dxa"/>
              <w:end w:w="100" w:type="dxa"/>
            </w:tcMar>
          </w:tcPr>
          <w:p>
            <w:r/>
            <w:r>
              <w:rPr>
                <w:rFonts w:ascii="Calibri" w:hAnsi="Calibri"/>
                <w:b/>
                <w:color w:val="FFFFFF"/>
                <w:sz w:val="19"/>
              </w:rPr>
              <w:t>Priorité (MoSCoW)</w:t>
            </w:r>
          </w:p>
        </w:tc>
        <w:tc>
          <w:tcPr>
            <w:tcW w:type="dxa" w:w="1361"/>
            <w:shd w:val="clear" w:fill="1F6F78"/>
            <w:tcMar>
              <w:top w:w="60" w:type="dxa"/>
              <w:bottom w:w="60" w:type="dxa"/>
              <w:start w:w="100" w:type="dxa"/>
              <w:end w:w="100" w:type="dxa"/>
            </w:tcMar>
          </w:tcPr>
          <w:p>
            <w:r/>
            <w:r>
              <w:rPr>
                <w:rFonts w:ascii="Calibri" w:hAnsi="Calibri"/>
                <w:b/>
                <w:color w:val="FFFFFF"/>
                <w:sz w:val="19"/>
              </w:rPr>
              <w:t>Palier</w:t>
            </w:r>
          </w:p>
        </w:tc>
        <w:tc>
          <w:tcPr>
            <w:tcW w:type="dxa" w:w="2608"/>
            <w:shd w:val="clear" w:fill="1F6F78"/>
            <w:tcMar>
              <w:top w:w="60" w:type="dxa"/>
              <w:bottom w:w="60" w:type="dxa"/>
              <w:start w:w="100" w:type="dxa"/>
              <w:end w:w="100" w:type="dxa"/>
            </w:tcMar>
          </w:tcPr>
          <w:p>
            <w:r/>
            <w:r>
              <w:rPr>
                <w:rFonts w:ascii="Calibri" w:hAnsi="Calibri"/>
                <w:b/>
                <w:color w:val="FFFFFF"/>
                <w:sz w:val="19"/>
              </w:rPr>
              <w:t>Rattachement</w:t>
            </w:r>
          </w:p>
        </w:tc>
        <w:tc>
          <w:tcPr>
            <w:tcW w:type="dxa" w:w="2268"/>
            <w:shd w:val="clear" w:fill="1F6F78"/>
            <w:tcMar>
              <w:top w:w="60" w:type="dxa"/>
              <w:bottom w:w="60" w:type="dxa"/>
              <w:start w:w="100" w:type="dxa"/>
              <w:end w:w="100" w:type="dxa"/>
            </w:tcMar>
          </w:tcPr>
          <w:p>
            <w:r/>
            <w:r>
              <w:rPr>
                <w:rFonts w:ascii="Calibri" w:hAnsi="Calibri"/>
                <w:b/>
                <w:color w:val="FFFFFF"/>
                <w:sz w:val="19"/>
              </w:rPr>
              <w:t>Confidentialité</w:t>
            </w:r>
          </w:p>
        </w:tc>
      </w:tr>
      <w:tr>
        <w:tc>
          <w:tcPr>
            <w:tcW w:type="dxa" w:w="2381"/>
            <w:tcMar>
              <w:top w:w="60" w:type="dxa"/>
              <w:bottom w:w="60" w:type="dxa"/>
              <w:start w:w="100" w:type="dxa"/>
              <w:end w:w="100" w:type="dxa"/>
            </w:tcMar>
          </w:tcPr>
          <w:p>
            <w:r/>
            <w:r>
              <w:rPr>
                <w:rFonts w:ascii="Calibri" w:hAnsi="Calibri"/>
                <w:b w:val="0"/>
                <w:sz w:val="19"/>
              </w:rPr>
              <w:t>M — Must (indispensable)</w:t>
            </w:r>
          </w:p>
        </w:tc>
        <w:tc>
          <w:tcPr>
            <w:tcW w:type="dxa" w:w="1361"/>
            <w:tcMar>
              <w:top w:w="60" w:type="dxa"/>
              <w:bottom w:w="60" w:type="dxa"/>
              <w:start w:w="100" w:type="dxa"/>
              <w:end w:w="100" w:type="dxa"/>
            </w:tcMar>
          </w:tcPr>
          <w:p>
            <w:r/>
            <w:r>
              <w:rPr>
                <w:rFonts w:ascii="Calibri" w:hAnsi="Calibri"/>
                <w:b w:val="0"/>
                <w:sz w:val="19"/>
              </w:rPr>
              <w:t>P1</w:t>
            </w:r>
          </w:p>
        </w:tc>
        <w:tc>
          <w:tcPr>
            <w:tcW w:type="dxa" w:w="2608"/>
            <w:tcMar>
              <w:top w:w="60" w:type="dxa"/>
              <w:bottom w:w="60" w:type="dxa"/>
              <w:start w:w="100" w:type="dxa"/>
              <w:end w:w="100" w:type="dxa"/>
            </w:tcMar>
          </w:tcPr>
          <w:p>
            <w:r/>
            <w:r>
              <w:rPr>
                <w:rFonts w:ascii="Calibri" w:hAnsi="Calibri"/>
                <w:b w:val="0"/>
                <w:sz w:val="19"/>
              </w:rPr>
              <w:t>Intégrations</w:t>
            </w:r>
          </w:p>
        </w:tc>
        <w:tc>
          <w:tcPr>
            <w:tcW w:type="dxa" w:w="2268"/>
            <w:tcMar>
              <w:top w:w="60" w:type="dxa"/>
              <w:bottom w:w="60" w:type="dxa"/>
              <w:start w:w="100" w:type="dxa"/>
              <w:end w:w="100" w:type="dxa"/>
            </w:tcMar>
          </w:tcPr>
          <w:p>
            <w:r/>
            <w:r>
              <w:rPr>
                <w:rFonts w:ascii="Calibri" w:hAnsi="Calibri"/>
                <w:b w:val="0"/>
                <w:sz w:val="19"/>
              </w:rPr>
              <w:t>N1</w:t>
            </w:r>
          </w:p>
        </w:tc>
      </w:tr>
    </w:tbl>
    <w:p>
      <w:pPr>
        <w:spacing w:after="120"/>
      </w:pPr>
    </w:p>
    <w:p>
      <w:pPr>
        <w:spacing w:before="80" w:after="20"/>
      </w:pPr>
      <w:r>
        <w:rPr>
          <w:b/>
          <w:color w:val="1F6F78"/>
          <w:sz w:val="21"/>
        </w:rPr>
        <w:t>Description</w:t>
      </w:r>
    </w:p>
    <w:p>
      <w:pPr>
        <w:spacing w:after="120"/>
      </w:pPr>
      <w:r>
        <w:rPr>
          <w:i w:val="0"/>
        </w:rPr>
        <w:t>Garantit que tout actif non bancaire (immobilier, objets, crypto, parts d'entreprise) peut être saisi et mis à jour manuellement, indépendamment de toute synchronisation. C'est la condition d'une vision patrimoniale complète dès les premiers paliers.</w:t>
      </w:r>
    </w:p>
    <w:p>
      <w:pPr>
        <w:spacing w:before="80" w:after="20"/>
      </w:pPr>
      <w:r>
        <w:rPr>
          <w:b/>
          <w:color w:val="1F6F78"/>
          <w:sz w:val="21"/>
        </w:rPr>
        <w:t>Valeur métier</w:t>
      </w:r>
    </w:p>
    <w:p>
      <w:pPr>
        <w:spacing w:after="120"/>
      </w:pPr>
      <w:r>
        <w:rPr>
          <w:i w:val="0"/>
        </w:rPr>
        <w:t>Assure que le patrimoine net reflète la réalité complète, au-delà des seules données bancaires.</w:t>
      </w:r>
    </w:p>
    <w:p>
      <w:pPr>
        <w:spacing w:before="80" w:after="20"/>
      </w:pPr>
      <w:r>
        <w:rPr>
          <w:b/>
          <w:color w:val="1F6F78"/>
          <w:sz w:val="21"/>
        </w:rPr>
        <w:t>Histoires utilisateur</w:t>
      </w:r>
    </w:p>
    <w:p>
      <w:pPr>
        <w:pStyle w:val="ListBullet"/>
        <w:spacing w:after="40"/>
      </w:pPr>
      <w:r>
        <w:t>En tant qu'utilisateur, je veux saisir et réévaluer mon appartement et ma crypto à la main.</w:t>
      </w:r>
    </w:p>
    <w:p>
      <w:pPr>
        <w:spacing w:before="80" w:after="20"/>
      </w:pPr>
      <w:r>
        <w:rPr>
          <w:b/>
          <w:color w:val="1F6F78"/>
          <w:sz w:val="21"/>
        </w:rPr>
        <w:t>Règles de gestion</w:t>
      </w:r>
    </w:p>
    <w:p>
      <w:pPr>
        <w:pStyle w:val="ListBullet"/>
        <w:spacing w:after="40"/>
      </w:pPr>
      <w:r>
        <w:t>Tous les types d'actifs non bancaires sont saisissables manuellement.</w:t>
      </w:r>
    </w:p>
    <w:p>
      <w:pPr>
        <w:pStyle w:val="ListBullet"/>
        <w:spacing w:after="40"/>
      </w:pPr>
      <w:r>
        <w:t>La réévaluation se fait par ajout de valorisations datées.</w:t>
      </w:r>
    </w:p>
    <w:p>
      <w:pPr>
        <w:pStyle w:val="ListBullet"/>
        <w:spacing w:after="40"/>
      </w:pPr>
      <w:r>
        <w:t>Aucune dépendance à une API externe pour ces actifs.</w:t>
      </w:r>
    </w:p>
    <w:p>
      <w:pPr>
        <w:spacing w:before="80" w:after="20"/>
      </w:pPr>
      <w:r>
        <w:rPr>
          <w:b/>
          <w:color w:val="1F6F78"/>
          <w:sz w:val="21"/>
        </w:rPr>
        <w:t>Données &amp; calculs</w:t>
      </w:r>
    </w:p>
    <w:p>
      <w:pPr>
        <w:spacing w:after="120"/>
      </w:pPr>
      <w:r>
        <w:rPr>
          <w:i w:val="0"/>
        </w:rPr>
        <w:t>Entités Asset et Valuation (saisie manuelle).</w:t>
      </w:r>
    </w:p>
    <w:p>
      <w:pPr>
        <w:spacing w:before="80" w:after="20"/>
      </w:pPr>
      <w:r>
        <w:rPr>
          <w:b/>
          <w:color w:val="1F6F78"/>
          <w:sz w:val="21"/>
        </w:rPr>
        <w:t>Critères d'acceptation</w:t>
      </w:r>
    </w:p>
    <w:p>
      <w:pPr>
        <w:pStyle w:val="ListBullet"/>
        <w:spacing w:after="40"/>
      </w:pPr>
      <w:r>
        <w:t>Un actif non bancaire saisi manuellement est correctement intégré au patrimoine.</w:t>
      </w:r>
    </w:p>
    <w:p>
      <w:pPr>
        <w:spacing w:after="160"/>
      </w:pPr>
    </w:p>
    <w:p>
      <w:r>
        <w:br w:type="page"/>
      </w:r>
    </w:p>
    <w:p>
      <w:pPr>
        <w:pStyle w:val="Heading1"/>
      </w:pPr>
      <w:r>
        <w:t>8. Stratégie d'intelligence artificielle hybride en cascade</w:t>
      </w:r>
    </w:p>
    <w:p>
      <w:pPr>
        <w:spacing w:after="120"/>
      </w:pPr>
      <w:r>
        <w:rPr>
          <w:i w:val="0"/>
        </w:rPr>
        <w:t>La stratégie d'intelligence artificielle d'Opale obéit à un principe directeur : l'intelligence maximale, avec le minimum de données exposées. Concrètement, le système privilégie toujours le traitement le plus local possible et n'escalade vers des moyens plus puissants — mais moins privés — que lorsque c'est nécessaire, et sous conditions strictes de confidentialité.</w:t>
      </w:r>
    </w:p>
    <w:p>
      <w:pPr>
        <w:spacing w:after="120"/>
      </w:pPr>
      <w:r>
        <w:rPr>
          <w:i w:val="0"/>
        </w:rPr>
        <w:t>Cette stratégie repose sur trois piliers complémentaires : une cascade à trois niveaux de calcul, un AI Router qui décide du niveau pour chaque demande, et une classification systématique des données par niveau de confidentialité, accompagnée d'un moteur d'anonymisation. Au-dessus de tout cela, un moteur financier déterministe reste la source unique des chiffres.</w:t>
      </w:r>
    </w:p>
    <w:p>
      <w:pPr>
        <w:pStyle w:val="Heading2"/>
      </w:pPr>
      <w:r>
        <w:t>8.1 Les trois niveaux de la cascade</w:t>
      </w:r>
    </w:p>
    <w:p>
      <w:pPr>
        <w:pStyle w:val="Heading3"/>
      </w:pPr>
      <w:r>
        <w:t>Niveau 1 — iPhone local (Apple Foundation Models)</w:t>
      </w:r>
    </w:p>
    <w:p>
      <w:pPr>
        <w:spacing w:after="120"/>
      </w:pPr>
      <w:r>
        <w:rPr>
          <w:i w:val="0"/>
        </w:rPr>
        <w:t>Rapide, privé, hors-ligne. Traite les tâches simples, fréquentes et sensibles directement sur l'appareil, sans qu'aucune donnée ne sorte.</w:t>
      </w:r>
    </w:p>
    <w:p>
      <w:pPr>
        <w:spacing w:before="80" w:after="20"/>
      </w:pPr>
      <w:r>
        <w:rPr>
          <w:b/>
          <w:color w:val="1F6F78"/>
          <w:sz w:val="21"/>
        </w:rPr>
        <w:t>Tâches typiques</w:t>
      </w:r>
    </w:p>
    <w:p>
      <w:pPr>
        <w:spacing w:after="120"/>
      </w:pPr>
      <w:r>
        <w:rPr>
          <w:i w:val="0"/>
        </w:rPr>
        <w:t>Catégorisation de transactions, nettoyage de libellés, détection d'abonnements, résumé court, recherche en langage naturel simple, explication rapide d'un graphe, suggestion d'enveloppe, extraction simple de reçu.</w:t>
      </w:r>
    </w:p>
    <w:p>
      <w:pPr>
        <w:pStyle w:val="Heading3"/>
      </w:pPr>
      <w:r>
        <w:t>Niveau 2 — Homelab GPU (RTX 5080)</w:t>
      </w:r>
    </w:p>
    <w:p>
      <w:pPr>
        <w:spacing w:after="120"/>
      </w:pPr>
      <w:r>
        <w:rPr>
          <w:i w:val="0"/>
        </w:rPr>
        <w:t>Privé et plus puissant. Traite les analyses lourdes mais qui doivent rester privées, sur le matériel auto-hébergé de l'utilisateur.</w:t>
      </w:r>
    </w:p>
    <w:p>
      <w:pPr>
        <w:spacing w:before="80" w:after="20"/>
      </w:pPr>
      <w:r>
        <w:rPr>
          <w:b/>
          <w:color w:val="1F6F78"/>
          <w:sz w:val="21"/>
        </w:rPr>
        <w:t>Tâches typiques</w:t>
      </w:r>
    </w:p>
    <w:p>
      <w:pPr>
        <w:spacing w:after="120"/>
      </w:pPr>
      <w:r>
        <w:rPr>
          <w:i w:val="0"/>
        </w:rPr>
        <w:t>Bilan mensuel complet, radar de risques, analyse patrimoniale globale, explication d'une baisse de patrimoine, résumé de documents, analyse immobilière, projection multi-hypothèses, comparaisons de scénarios simples, assistant à historique long.</w:t>
      </w:r>
    </w:p>
    <w:p>
      <w:pPr>
        <w:pStyle w:val="Heading3"/>
      </w:pPr>
      <w:r>
        <w:t>Niveau 3 — Cloud premium (Fable 5)</w:t>
      </w:r>
    </w:p>
    <w:p>
      <w:pPr>
        <w:spacing w:after="120"/>
      </w:pPr>
      <w:r>
        <w:rPr>
          <w:i w:val="0"/>
        </w:rPr>
        <w:t>Très puissant, ponctuel, sur données anonymisées uniquement. Réservé aux décisions complexes nécessitant un raisonnement avancé, avec anonymisation préalable et consentement.</w:t>
      </w:r>
    </w:p>
    <w:p>
      <w:pPr>
        <w:spacing w:before="80" w:after="20"/>
      </w:pPr>
      <w:r>
        <w:rPr>
          <w:b/>
          <w:color w:val="1F6F78"/>
          <w:sz w:val="21"/>
        </w:rPr>
        <w:t>Tâches typiques</w:t>
      </w:r>
    </w:p>
    <w:p>
      <w:pPr>
        <w:spacing w:after="120"/>
      </w:pPr>
      <w:r>
        <w:rPr>
          <w:i w:val="0"/>
        </w:rPr>
        <w:t>Acheter ou louer, payer cash ou à crédit, rembourser ou investir, achat immobilier complexe, transmission et succession, stratégie entrepreneur, arbitrage multi-actifs, analyse longue multi-hypothèses.</w:t>
      </w:r>
    </w:p>
    <w:p>
      <w:pPr>
        <w:pStyle w:val="Heading2"/>
      </w:pPr>
      <w:r>
        <w:t>8.2 L'AI Router</w:t>
      </w:r>
    </w:p>
    <w:p>
      <w:pPr>
        <w:spacing w:after="120"/>
      </w:pPr>
      <w:r>
        <w:rPr>
          <w:i w:val="0"/>
        </w:rPr>
        <w:t>L'AI Router est le composant central qui décide, pour chaque demande, du niveau cible de la cascade. Il arbitre selon plusieurs critères : complexité de la tâche, sensibilité et niveau de confidentialité requis, disponibilité du homelab, coût d'un appel cloud, temps de réponse attendu, taille du contexte et niveau de raisonnement nécessaire.</w:t>
      </w:r>
    </w:p>
    <w:p>
      <w:pPr>
        <w:spacing w:after="120"/>
      </w:pPr>
      <w:r>
        <w:rPr>
          <w:i w:val="0"/>
        </w:rPr>
        <w:t>Chaque décision de routage est journalisée (quel niveau a été choisi, et pourquoi), à la fois pour la transparence vis-à-vis de l'utilisateur et pour l'amélioration continue. L'AI Router ne remplace jamais le moteur financier déterministe : il oriente le raisonnement conversationnel, pas le calcul des chiffres.</w:t>
      </w:r>
    </w:p>
    <w:p>
      <w:pPr>
        <w:spacing w:before="80" w:after="20"/>
      </w:pPr>
      <w:r>
        <w:rPr>
          <w:b/>
          <w:color w:val="1F6F78"/>
          <w:sz w:val="21"/>
        </w:rPr>
        <w:t>Exemples de routage</w:t>
      </w:r>
    </w:p>
    <w:tbl>
      <w:tblPr>
        <w:tblStyle w:val="TableGrid"/>
        <w:tblW w:type="auto" w:w="0"/>
        <w:jc w:val="center"/>
        <w:tblLook w:firstColumn="1" w:firstRow="1" w:lastColumn="0" w:lastRow="0" w:noHBand="0" w:noVBand="1" w:val="04A0"/>
      </w:tblPr>
      <w:tblGrid>
        <w:gridCol w:w="4873"/>
        <w:gridCol w:w="4873"/>
      </w:tblGrid>
      <w:tr>
        <w:tc>
          <w:tcPr>
            <w:tcW w:type="dxa" w:w="5386"/>
            <w:shd w:val="clear" w:fill="1F6F78"/>
            <w:tcMar>
              <w:top w:w="60" w:type="dxa"/>
              <w:bottom w:w="60" w:type="dxa"/>
              <w:start w:w="100" w:type="dxa"/>
              <w:end w:w="100" w:type="dxa"/>
            </w:tcMar>
          </w:tcPr>
          <w:p>
            <w:r/>
            <w:r>
              <w:rPr>
                <w:rFonts w:ascii="Calibri" w:hAnsi="Calibri"/>
                <w:b/>
                <w:color w:val="FFFFFF"/>
                <w:sz w:val="19"/>
              </w:rPr>
              <w:t>Demande</w:t>
            </w:r>
          </w:p>
        </w:tc>
        <w:tc>
          <w:tcPr>
            <w:tcW w:type="dxa" w:w="3118"/>
            <w:shd w:val="clear" w:fill="1F6F78"/>
            <w:tcMar>
              <w:top w:w="60" w:type="dxa"/>
              <w:bottom w:w="60" w:type="dxa"/>
              <w:start w:w="100" w:type="dxa"/>
              <w:end w:w="100" w:type="dxa"/>
            </w:tcMar>
          </w:tcPr>
          <w:p>
            <w:r/>
            <w:r>
              <w:rPr>
                <w:rFonts w:ascii="Calibri" w:hAnsi="Calibri"/>
                <w:b/>
                <w:color w:val="FFFFFF"/>
                <w:sz w:val="19"/>
              </w:rPr>
              <w:t>Niveau cible</w:t>
            </w:r>
          </w:p>
        </w:tc>
      </w:tr>
      <w:tr>
        <w:tc>
          <w:tcPr>
            <w:tcW w:type="dxa" w:w="5386"/>
            <w:tcMar>
              <w:top w:w="60" w:type="dxa"/>
              <w:bottom w:w="60" w:type="dxa"/>
              <w:start w:w="100" w:type="dxa"/>
              <w:end w:w="100" w:type="dxa"/>
            </w:tcMar>
          </w:tcPr>
          <w:p>
            <w:r/>
            <w:r>
              <w:rPr>
                <w:rFonts w:ascii="Calibri" w:hAnsi="Calibri"/>
                <w:b w:val="0"/>
                <w:sz w:val="19"/>
              </w:rPr>
              <w:t>« Classe cette transaction »</w:t>
            </w:r>
          </w:p>
        </w:tc>
        <w:tc>
          <w:tcPr>
            <w:tcW w:type="dxa" w:w="3118"/>
            <w:tcMar>
              <w:top w:w="60" w:type="dxa"/>
              <w:bottom w:w="60" w:type="dxa"/>
              <w:start w:w="100" w:type="dxa"/>
              <w:end w:w="100" w:type="dxa"/>
            </w:tcMar>
          </w:tcPr>
          <w:p>
            <w:r/>
            <w:r>
              <w:rPr>
                <w:rFonts w:ascii="Calibri" w:hAnsi="Calibri"/>
                <w:b w:val="0"/>
                <w:sz w:val="19"/>
              </w:rPr>
              <w:t>iPhone local (niveau 1)</w:t>
            </w:r>
          </w:p>
        </w:tc>
      </w:tr>
      <w:tr>
        <w:tc>
          <w:tcPr>
            <w:tcW w:type="dxa" w:w="5386"/>
            <w:tcMar>
              <w:top w:w="60" w:type="dxa"/>
              <w:bottom w:w="60" w:type="dxa"/>
              <w:start w:w="100" w:type="dxa"/>
              <w:end w:w="100" w:type="dxa"/>
            </w:tcMar>
            <w:shd w:val="clear" w:fill="F6F8F9"/>
          </w:tcPr>
          <w:p>
            <w:r/>
            <w:r>
              <w:rPr>
                <w:rFonts w:ascii="Calibri" w:hAnsi="Calibri"/>
                <w:b w:val="0"/>
                <w:sz w:val="19"/>
              </w:rPr>
              <w:t>« Pourquoi mon cash baisse ce mois-ci ? »</w:t>
            </w:r>
          </w:p>
        </w:tc>
        <w:tc>
          <w:tcPr>
            <w:tcW w:type="dxa" w:w="3118"/>
            <w:tcMar>
              <w:top w:w="60" w:type="dxa"/>
              <w:bottom w:w="60" w:type="dxa"/>
              <w:start w:w="100" w:type="dxa"/>
              <w:end w:w="100" w:type="dxa"/>
            </w:tcMar>
            <w:shd w:val="clear" w:fill="F6F8F9"/>
          </w:tcPr>
          <w:p>
            <w:r/>
            <w:r>
              <w:rPr>
                <w:rFonts w:ascii="Calibri" w:hAnsi="Calibri"/>
                <w:b w:val="0"/>
                <w:sz w:val="19"/>
              </w:rPr>
              <w:t>iPhone ou homelab (niveau 1 ou 2)</w:t>
            </w:r>
          </w:p>
        </w:tc>
      </w:tr>
      <w:tr>
        <w:tc>
          <w:tcPr>
            <w:tcW w:type="dxa" w:w="5386"/>
            <w:tcMar>
              <w:top w:w="60" w:type="dxa"/>
              <w:bottom w:w="60" w:type="dxa"/>
              <w:start w:w="100" w:type="dxa"/>
              <w:end w:w="100" w:type="dxa"/>
            </w:tcMar>
          </w:tcPr>
          <w:p>
            <w:r/>
            <w:r>
              <w:rPr>
                <w:rFonts w:ascii="Calibri" w:hAnsi="Calibri"/>
                <w:b w:val="0"/>
                <w:sz w:val="19"/>
              </w:rPr>
              <w:t>« Compare acheter un appartement à 280 000 € et rester locataire »</w:t>
            </w:r>
          </w:p>
        </w:tc>
        <w:tc>
          <w:tcPr>
            <w:tcW w:type="dxa" w:w="3118"/>
            <w:tcMar>
              <w:top w:w="60" w:type="dxa"/>
              <w:bottom w:w="60" w:type="dxa"/>
              <w:start w:w="100" w:type="dxa"/>
              <w:end w:w="100" w:type="dxa"/>
            </w:tcMar>
          </w:tcPr>
          <w:p>
            <w:r/>
            <w:r>
              <w:rPr>
                <w:rFonts w:ascii="Calibri" w:hAnsi="Calibri"/>
                <w:b w:val="0"/>
                <w:sz w:val="19"/>
              </w:rPr>
              <w:t>Homelab d'abord, cloud si nécessaire (niveau 2 → 3)</w:t>
            </w:r>
          </w:p>
        </w:tc>
      </w:tr>
      <w:tr>
        <w:tc>
          <w:tcPr>
            <w:tcW w:type="dxa" w:w="5386"/>
            <w:tcMar>
              <w:top w:w="60" w:type="dxa"/>
              <w:bottom w:w="60" w:type="dxa"/>
              <w:start w:w="100" w:type="dxa"/>
              <w:end w:w="100" w:type="dxa"/>
            </w:tcMar>
            <w:shd w:val="clear" w:fill="F6F8F9"/>
          </w:tcPr>
          <w:p>
            <w:r/>
            <w:r>
              <w:rPr>
                <w:rFonts w:ascii="Calibri" w:hAnsi="Calibri"/>
                <w:b w:val="0"/>
                <w:sz w:val="19"/>
              </w:rPr>
              <w:t>« Analyse tout mon patrimoine et propose trois stratégies »</w:t>
            </w:r>
          </w:p>
        </w:tc>
        <w:tc>
          <w:tcPr>
            <w:tcW w:type="dxa" w:w="3118"/>
            <w:tcMar>
              <w:top w:w="60" w:type="dxa"/>
              <w:bottom w:w="60" w:type="dxa"/>
              <w:start w:w="100" w:type="dxa"/>
              <w:end w:w="100" w:type="dxa"/>
            </w:tcMar>
            <w:shd w:val="clear" w:fill="F6F8F9"/>
          </w:tcPr>
          <w:p>
            <w:r/>
            <w:r>
              <w:rPr>
                <w:rFonts w:ascii="Calibri" w:hAnsi="Calibri"/>
                <w:b w:val="0"/>
                <w:sz w:val="19"/>
              </w:rPr>
              <w:t>Cloud possible, sur données anonymisées (niveau 3)</w:t>
            </w:r>
          </w:p>
        </w:tc>
      </w:tr>
    </w:tbl>
    <w:p>
      <w:pPr>
        <w:spacing w:after="120"/>
      </w:pPr>
    </w:p>
    <w:p>
      <w:pPr>
        <w:pStyle w:val="Heading2"/>
      </w:pPr>
      <w:r>
        <w:t>8.3 Niveaux de confidentialité des données</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fill="1F6F78"/>
            <w:tcMar>
              <w:top w:w="60" w:type="dxa"/>
              <w:bottom w:w="60" w:type="dxa"/>
              <w:start w:w="100" w:type="dxa"/>
              <w:end w:w="100" w:type="dxa"/>
            </w:tcMar>
          </w:tcPr>
          <w:p>
            <w:r/>
            <w:r>
              <w:rPr>
                <w:rFonts w:ascii="Calibri" w:hAnsi="Calibri"/>
                <w:b/>
                <w:color w:val="FFFFFF"/>
                <w:sz w:val="19"/>
              </w:rPr>
              <w:t>Niveau</w:t>
            </w:r>
          </w:p>
        </w:tc>
        <w:tc>
          <w:tcPr>
            <w:tcW w:type="dxa" w:w="2948"/>
            <w:shd w:val="clear" w:fill="1F6F78"/>
            <w:tcMar>
              <w:top w:w="60" w:type="dxa"/>
              <w:bottom w:w="60" w:type="dxa"/>
              <w:start w:w="100" w:type="dxa"/>
              <w:end w:w="100" w:type="dxa"/>
            </w:tcMar>
          </w:tcPr>
          <w:p>
            <w:r/>
            <w:r>
              <w:rPr>
                <w:rFonts w:ascii="Calibri" w:hAnsi="Calibri"/>
                <w:b/>
                <w:color w:val="FFFFFF"/>
                <w:sz w:val="19"/>
              </w:rPr>
              <w:t>Règle</w:t>
            </w:r>
          </w:p>
        </w:tc>
        <w:tc>
          <w:tcPr>
            <w:tcW w:type="dxa" w:w="3515"/>
            <w:shd w:val="clear" w:fill="1F6F78"/>
            <w:tcMar>
              <w:top w:w="60" w:type="dxa"/>
              <w:bottom w:w="60" w:type="dxa"/>
              <w:start w:w="100" w:type="dxa"/>
              <w:end w:w="100" w:type="dxa"/>
            </w:tcMar>
          </w:tcPr>
          <w:p>
            <w:r/>
            <w:r>
              <w:rPr>
                <w:rFonts w:ascii="Calibri" w:hAnsi="Calibri"/>
                <w:b/>
                <w:color w:val="FFFFFF"/>
                <w:sz w:val="19"/>
              </w:rPr>
              <w:t>Exemples</w:t>
            </w:r>
          </w:p>
        </w:tc>
      </w:tr>
      <w:tr>
        <w:tc>
          <w:tcPr>
            <w:tcW w:type="dxa" w:w="2041"/>
            <w:tcMar>
              <w:top w:w="60" w:type="dxa"/>
              <w:bottom w:w="60" w:type="dxa"/>
              <w:start w:w="100" w:type="dxa"/>
              <w:end w:w="100" w:type="dxa"/>
            </w:tcMar>
          </w:tcPr>
          <w:p>
            <w:r/>
            <w:r>
              <w:rPr>
                <w:rFonts w:ascii="Calibri" w:hAnsi="Calibri"/>
                <w:b w:val="0"/>
                <w:sz w:val="19"/>
              </w:rPr>
              <w:t>N1 — Local strict</w:t>
            </w:r>
          </w:p>
        </w:tc>
        <w:tc>
          <w:tcPr>
            <w:tcW w:type="dxa" w:w="2948"/>
            <w:tcMar>
              <w:top w:w="60" w:type="dxa"/>
              <w:bottom w:w="60" w:type="dxa"/>
              <w:start w:w="100" w:type="dxa"/>
              <w:end w:w="100" w:type="dxa"/>
            </w:tcMar>
          </w:tcPr>
          <w:p>
            <w:r/>
            <w:r>
              <w:rPr>
                <w:rFonts w:ascii="Calibri" w:hAnsi="Calibri"/>
                <w:b w:val="0"/>
                <w:sz w:val="19"/>
              </w:rPr>
              <w:t>Jamais hors de l'appareil ou du homelab.</w:t>
            </w:r>
          </w:p>
        </w:tc>
        <w:tc>
          <w:tcPr>
            <w:tcW w:type="dxa" w:w="3515"/>
            <w:tcMar>
              <w:top w:w="60" w:type="dxa"/>
              <w:bottom w:w="60" w:type="dxa"/>
              <w:start w:w="100" w:type="dxa"/>
              <w:end w:w="100" w:type="dxa"/>
            </w:tcMar>
          </w:tcPr>
          <w:p>
            <w:r/>
            <w:r>
              <w:rPr>
                <w:rFonts w:ascii="Calibri" w:hAnsi="Calibri"/>
                <w:b w:val="0"/>
                <w:sz w:val="19"/>
              </w:rPr>
              <w:t>Identité, documents, IBAN, contrats, fiscalité, succession, détails familiaux.</w:t>
            </w:r>
          </w:p>
        </w:tc>
      </w:tr>
      <w:tr>
        <w:tc>
          <w:tcPr>
            <w:tcW w:type="dxa" w:w="2041"/>
            <w:tcMar>
              <w:top w:w="60" w:type="dxa"/>
              <w:bottom w:w="60" w:type="dxa"/>
              <w:start w:w="100" w:type="dxa"/>
              <w:end w:w="100" w:type="dxa"/>
            </w:tcMar>
            <w:shd w:val="clear" w:fill="F6F8F9"/>
          </w:tcPr>
          <w:p>
            <w:r/>
            <w:r>
              <w:rPr>
                <w:rFonts w:ascii="Calibri" w:hAnsi="Calibri"/>
                <w:b w:val="0"/>
                <w:sz w:val="19"/>
              </w:rPr>
              <w:t>N2 — Cloud anonymisé possible</w:t>
            </w:r>
          </w:p>
        </w:tc>
        <w:tc>
          <w:tcPr>
            <w:tcW w:type="dxa" w:w="2948"/>
            <w:tcMar>
              <w:top w:w="60" w:type="dxa"/>
              <w:bottom w:w="60" w:type="dxa"/>
              <w:start w:w="100" w:type="dxa"/>
              <w:end w:w="100" w:type="dxa"/>
            </w:tcMar>
            <w:shd w:val="clear" w:fill="F6F8F9"/>
          </w:tcPr>
          <w:p>
            <w:r/>
            <w:r>
              <w:rPr>
                <w:rFonts w:ascii="Calibri" w:hAnsi="Calibri"/>
                <w:b w:val="0"/>
                <w:sz w:val="19"/>
              </w:rPr>
              <w:t>Envoi possible au cloud, sans nom, banque ni document brut, après anonymisation.</w:t>
            </w:r>
          </w:p>
        </w:tc>
        <w:tc>
          <w:tcPr>
            <w:tcW w:type="dxa" w:w="3515"/>
            <w:tcMar>
              <w:top w:w="60" w:type="dxa"/>
              <w:bottom w:w="60" w:type="dxa"/>
              <w:start w:w="100" w:type="dxa"/>
              <w:end w:w="100" w:type="dxa"/>
            </w:tcMar>
            <w:shd w:val="clear" w:fill="F6F8F9"/>
          </w:tcPr>
          <w:p>
            <w:r/>
            <w:r>
              <w:rPr>
                <w:rFonts w:ascii="Calibri" w:hAnsi="Calibri"/>
                <w:b w:val="0"/>
                <w:sz w:val="19"/>
              </w:rPr>
              <w:t>Montants agrégés, ratios, objectifs, scénarios, hypothèses.</w:t>
            </w:r>
          </w:p>
        </w:tc>
      </w:tr>
      <w:tr>
        <w:tc>
          <w:tcPr>
            <w:tcW w:type="dxa" w:w="2041"/>
            <w:tcMar>
              <w:top w:w="60" w:type="dxa"/>
              <w:bottom w:w="60" w:type="dxa"/>
              <w:start w:w="100" w:type="dxa"/>
              <w:end w:w="100" w:type="dxa"/>
            </w:tcMar>
          </w:tcPr>
          <w:p>
            <w:r/>
            <w:r>
              <w:rPr>
                <w:rFonts w:ascii="Calibri" w:hAnsi="Calibri"/>
                <w:b w:val="0"/>
                <w:sz w:val="19"/>
              </w:rPr>
              <w:t>N3 — Cloud interdit par défaut</w:t>
            </w:r>
          </w:p>
        </w:tc>
        <w:tc>
          <w:tcPr>
            <w:tcW w:type="dxa" w:w="2948"/>
            <w:tcMar>
              <w:top w:w="60" w:type="dxa"/>
              <w:bottom w:w="60" w:type="dxa"/>
              <w:start w:w="100" w:type="dxa"/>
              <w:end w:w="100" w:type="dxa"/>
            </w:tcMar>
          </w:tcPr>
          <w:p>
            <w:r/>
            <w:r>
              <w:rPr>
                <w:rFonts w:ascii="Calibri" w:hAnsi="Calibri"/>
                <w:b w:val="0"/>
                <w:sz w:val="19"/>
              </w:rPr>
              <w:t>Jamais envoyé au cloud, en aucune circonstance par défaut.</w:t>
            </w:r>
          </w:p>
        </w:tc>
        <w:tc>
          <w:tcPr>
            <w:tcW w:type="dxa" w:w="3515"/>
            <w:tcMar>
              <w:top w:w="60" w:type="dxa"/>
              <w:bottom w:w="60" w:type="dxa"/>
              <w:start w:w="100" w:type="dxa"/>
              <w:end w:w="100" w:type="dxa"/>
            </w:tcMar>
          </w:tcPr>
          <w:p>
            <w:r/>
            <w:r>
              <w:rPr>
                <w:rFonts w:ascii="Calibri" w:hAnsi="Calibri"/>
                <w:b w:val="0"/>
                <w:sz w:val="19"/>
              </w:rPr>
              <w:t>Documents uploadés, pièce d'identité, testament, contrats notariaux, données bancaires brutes.</w:t>
            </w:r>
          </w:p>
        </w:tc>
      </w:tr>
    </w:tbl>
    <w:p>
      <w:pPr>
        <w:spacing w:after="120"/>
      </w:pPr>
    </w:p>
    <w:p>
      <w:pPr>
        <w:spacing w:before="80" w:after="20"/>
      </w:pPr>
      <w:r>
        <w:rPr>
          <w:b/>
          <w:color w:val="1F6F78"/>
          <w:sz w:val="21"/>
        </w:rPr>
        <w:t>Exemple d'anonymisation (passage en N2)</w:t>
      </w:r>
    </w:p>
    <w:p>
      <w:pPr>
        <w:spacing w:after="120"/>
      </w:pPr>
      <w:r>
        <w:rPr>
          <w:i w:val="0"/>
        </w:rPr>
        <w:t>Au lieu d'envoyer des données nominatives :</w:t>
      </w:r>
    </w:p>
    <w:tbl>
      <w:tblPr>
        <w:tblStyle w:val="TableGrid"/>
        <w:tblW w:type="auto" w:w="0"/>
        <w:tblLook w:firstColumn="1" w:firstRow="1" w:lastColumn="0" w:lastRow="0" w:noHBand="0" w:noVBand="1" w:val="04A0"/>
      </w:tblPr>
      <w:tblGrid>
        <w:gridCol w:w="9746"/>
      </w:tblGrid>
      <w:tr>
        <w:tc>
          <w:tcPr>
            <w:tcW w:type="dxa" w:w="9746"/>
            <w:shd w:val="clear" w:fill="7A1F2B"/>
            <w:tcMar>
              <w:top w:w="120" w:type="dxa"/>
              <w:bottom w:w="120" w:type="dxa"/>
              <w:start w:w="160" w:type="dxa"/>
              <w:end w:w="160" w:type="dxa"/>
            </w:tcMar>
          </w:tcPr>
          <w:p>
            <w:pPr>
              <w:spacing w:after="0"/>
            </w:pPr>
            <w:r/>
            <w:r>
              <w:rPr>
                <w:rFonts w:ascii="Consolas" w:hAnsi="Consolas"/>
                <w:color w:val="E5EAF0"/>
                <w:sz w:val="19"/>
              </w:rPr>
              <w:t>Adam a 42 300 € chez BNP, 18 000 € sur PEA Boursorama, gagne 3 200 € par mois et vise un achat immobilier à 250 000 €.</w:t>
            </w:r>
          </w:p>
        </w:tc>
      </w:tr>
    </w:tbl>
    <w:p>
      <w:pPr>
        <w:spacing w:after="120"/>
      </w:pPr>
    </w:p>
    <w:p>
      <w:pPr>
        <w:spacing w:after="120"/>
      </w:pPr>
      <w:r>
        <w:rPr>
          <w:i w:val="0"/>
        </w:rPr>
        <w:t>le moteur d'anonymisation transmet une version agrégée et anonyme :</w:t>
      </w:r>
    </w:p>
    <w:tbl>
      <w:tblPr>
        <w:tblStyle w:val="TableGrid"/>
        <w:tblW w:type="auto" w:w="0"/>
        <w:tblLook w:firstColumn="1" w:firstRow="1" w:lastColumn="0" w:lastRow="0" w:noHBand="0" w:noVBand="1" w:val="04A0"/>
      </w:tblPr>
      <w:tblGrid>
        <w:gridCol w:w="9746"/>
      </w:tblGrid>
      <w:tr>
        <w:tc>
          <w:tcPr>
            <w:tcW w:type="dxa" w:w="9746"/>
            <w:shd w:val="clear" w:fill="0F172A"/>
            <w:tcMar>
              <w:top w:w="120" w:type="dxa"/>
              <w:bottom w:w="120" w:type="dxa"/>
              <w:start w:w="160" w:type="dxa"/>
              <w:end w:w="160" w:type="dxa"/>
            </w:tcMar>
          </w:tcPr>
          <w:p>
            <w:pPr>
              <w:spacing w:after="0"/>
            </w:pPr>
            <w:r/>
            <w:r>
              <w:rPr>
                <w:rFonts w:ascii="Consolas" w:hAnsi="Consolas"/>
                <w:color w:val="E5EAF0"/>
                <w:sz w:val="19"/>
              </w:rPr>
              <w:t>Profil A :</w:t>
            </w:r>
          </w:p>
          <w:p>
            <w:pPr>
              <w:spacing w:after="0"/>
            </w:pPr>
            <w:r>
              <w:rPr>
                <w:rFonts w:ascii="Consolas" w:hAnsi="Consolas"/>
                <w:color w:val="E5EAF0"/>
                <w:sz w:val="19"/>
              </w:rPr>
              <w:t xml:space="preserve">  cash : 42k</w:t>
            </w:r>
          </w:p>
          <w:p>
            <w:pPr>
              <w:spacing w:after="0"/>
            </w:pPr>
            <w:r>
              <w:rPr>
                <w:rFonts w:ascii="Consolas" w:hAnsi="Consolas"/>
                <w:color w:val="E5EAF0"/>
                <w:sz w:val="19"/>
              </w:rPr>
              <w:t xml:space="preserve">  placements actions : 18k</w:t>
            </w:r>
          </w:p>
          <w:p>
            <w:pPr>
              <w:spacing w:after="0"/>
            </w:pPr>
            <w:r>
              <w:rPr>
                <w:rFonts w:ascii="Consolas" w:hAnsi="Consolas"/>
                <w:color w:val="E5EAF0"/>
                <w:sz w:val="19"/>
              </w:rPr>
              <w:t xml:space="preserve">  revenu mensuel : 3,2k</w:t>
            </w:r>
          </w:p>
          <w:p>
            <w:pPr>
              <w:spacing w:after="0"/>
            </w:pPr>
            <w:r>
              <w:rPr>
                <w:rFonts w:ascii="Consolas" w:hAnsi="Consolas"/>
                <w:color w:val="E5EAF0"/>
                <w:sz w:val="19"/>
              </w:rPr>
              <w:t xml:space="preserve">  charges fixes : 1,4k</w:t>
            </w:r>
          </w:p>
          <w:p>
            <w:pPr>
              <w:spacing w:after="0"/>
            </w:pPr>
            <w:r>
              <w:rPr>
                <w:rFonts w:ascii="Consolas" w:hAnsi="Consolas"/>
                <w:color w:val="E5EAF0"/>
                <w:sz w:val="19"/>
              </w:rPr>
              <w:t xml:space="preserve">  objectif : achat immobilier 250k</w:t>
            </w:r>
          </w:p>
        </w:tc>
      </w:tr>
    </w:tbl>
    <w:p>
      <w:pPr>
        <w:spacing w:after="120"/>
      </w:pPr>
    </w:p>
    <w:p>
      <w:pPr>
        <w:pStyle w:val="Heading2"/>
      </w:pPr>
      <w:r>
        <w:t>8.4 Fallback et expérience utilisateur</w:t>
      </w:r>
    </w:p>
    <w:p>
      <w:pPr>
        <w:pStyle w:val="ListBullet"/>
        <w:spacing w:after="40"/>
      </w:pPr>
      <w:r>
        <w:t>Fallback fluide : si le niveau 1 s'avère insuffisant, l'app annonce clairement « je vais faire une analyse plus poussée » et escalade vers le homelab.</w:t>
      </w:r>
    </w:p>
    <w:p>
      <w:pPr>
        <w:pStyle w:val="ListBullet"/>
        <w:spacing w:after="40"/>
      </w:pPr>
      <w:r>
        <w:t>Si le homelab est indisponible, l'app propose le cloud : « analyse avancée indisponible en local. Utiliser le modèle cloud ? ».</w:t>
      </w:r>
    </w:p>
    <w:p>
      <w:pPr>
        <w:pStyle w:val="ListBullet"/>
        <w:spacing w:after="40"/>
      </w:pPr>
      <w:r>
        <w:t>Pour les données sensibles, une confirmation explicite est requise avant tout envoi cloud : « cette analyse nécessite un modèle externe. Les données seront anonymisées avant envoi. Continuer ? ».</w:t>
      </w:r>
    </w:p>
    <w:p>
      <w:pPr>
        <w:pStyle w:val="ListBullet"/>
        <w:spacing w:after="40"/>
      </w:pPr>
      <w:r>
        <w:t>En cas d'indisponibilité totale des niveaux supérieurs, l'application fonctionne en mode dégradé : les fonctions déterministes (patrimoine, projections, calculs) restent pleinement opérationnelles.</w:t>
      </w:r>
    </w:p>
    <w:p>
      <w:pPr>
        <w:pStyle w:val="Heading2"/>
      </w:pPr>
      <w:r>
        <w:t>8.5 Moteur financier déterministe (non négociable)</w:t>
      </w:r>
    </w:p>
    <w:p>
      <w:pPr>
        <w:spacing w:after="120"/>
      </w:pPr>
      <w:r>
        <w:rPr>
          <w:i w:val="0"/>
        </w:rPr>
        <w:t>Le moteur financier déterministe est non négociable. L'IA est le cerveau conversationnel ; le calcul, lui, reste dans le moteur. Le flux type est le suivant : l'utilisateur pose une question, l'IA comprend l'intention, le moteur calcule de façon déterministe, puis l'IA explique le résultat en langage clair.</w:t>
      </w:r>
    </w:p>
    <w:p>
      <w:pPr>
        <w:spacing w:after="120"/>
      </w:pPr>
      <w:r>
        <w:rPr>
          <w:i w:val="0"/>
        </w:rPr>
        <w:t>Ainsi, à la question « puis-je acheter une voiture à 35 000 € ? », le moteur calcule le cash restant, l'impact sur le patrimoine, sur l'objectif, sur la date d'indépendance et le risque de liquidité ; l'IA se contente de restituer : « oui, mais ton fonds d'urgence passerait de 9 à 4 mois… ». L'IA ne produit jamais elle-même un chiffre financier.</w:t>
      </w:r>
    </w:p>
    <w:p>
      <w:pPr>
        <w:spacing w:after="120"/>
      </w:pPr>
      <w:r>
        <w:rPr>
          <w:i w:val="0"/>
        </w:rPr>
        <w:t>Le moteur expose des fonctions de calcul testables unitairement : impact sur le patrimoine, projection, fonds d'urgence, date d'indépendance, cashflow futur, etc. Cette exigence de testabilité est la garantie de l'exactitude promise à l'utilisateur.</w:t>
      </w:r>
    </w:p>
    <w:tbl>
      <w:tblPr>
        <w:tblStyle w:val="TableGrid"/>
        <w:tblW w:type="auto" w:w="0"/>
        <w:tblLook w:firstColumn="1" w:firstRow="1" w:lastColumn="0" w:lastRow="0" w:noHBand="0" w:noVBand="1" w:val="04A0"/>
      </w:tblPr>
      <w:tblGrid>
        <w:gridCol w:w="9746"/>
      </w:tblGrid>
      <w:tr>
        <w:tc>
          <w:tcPr>
            <w:tcW w:type="dxa" w:w="9746"/>
            <w:shd w:val="clear" w:fill="FFF4D6"/>
            <w:tcMar>
              <w:top w:w="120" w:type="dxa"/>
              <w:bottom w:w="120" w:type="dxa"/>
              <w:start w:w="160" w:type="dxa"/>
              <w:end w:w="160" w:type="dxa"/>
            </w:tcMar>
          </w:tcPr>
          <w:p>
            <w:pPr>
              <w:spacing w:after="40"/>
            </w:pPr>
            <w:r/>
            <w:r>
              <w:rPr>
                <w:b/>
                <w:color w:val="1F2A37"/>
                <w:sz w:val="21"/>
              </w:rPr>
              <w:t>Principe clé</w:t>
            </w:r>
          </w:p>
          <w:p>
            <w:r>
              <w:rPr>
                <w:sz w:val="20"/>
              </w:rPr>
              <w:t>L'IA comprend l'intention et explique ; le moteur déterministe calcule. Aucun chiffre financier affiché ne provient de l'IA seule.</w:t>
            </w:r>
          </w:p>
        </w:tc>
      </w:tr>
    </w:tbl>
    <w:p>
      <w:pPr>
        <w:spacing w:after="120"/>
      </w:pPr>
    </w:p>
    <w:p>
      <w:pPr>
        <w:pStyle w:val="Heading2"/>
      </w:pPr>
      <w:r>
        <w:t>8.6 Synthèse des exigences IA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020"/>
            <w:shd w:val="clear" w:fill="1F6F78"/>
            <w:tcMar>
              <w:top w:w="60" w:type="dxa"/>
              <w:bottom w:w="60" w:type="dxa"/>
              <w:start w:w="100" w:type="dxa"/>
              <w:end w:w="100" w:type="dxa"/>
            </w:tcMar>
          </w:tcPr>
          <w:p>
            <w:r/>
            <w:r>
              <w:rPr>
                <w:rFonts w:ascii="Calibri" w:hAnsi="Calibri"/>
                <w:b/>
                <w:color w:val="FFFFFF"/>
                <w:sz w:val="19"/>
              </w:rPr>
              <w:t>ID</w:t>
            </w:r>
          </w:p>
        </w:tc>
        <w:tc>
          <w:tcPr>
            <w:tcW w:type="dxa" w:w="5499"/>
            <w:shd w:val="clear" w:fill="1F6F78"/>
            <w:tcMar>
              <w:top w:w="60" w:type="dxa"/>
              <w:bottom w:w="60" w:type="dxa"/>
              <w:start w:w="100" w:type="dxa"/>
              <w:end w:w="100" w:type="dxa"/>
            </w:tcMar>
          </w:tcPr>
          <w:p>
            <w:r/>
            <w:r>
              <w:rPr>
                <w:rFonts w:ascii="Calibri" w:hAnsi="Calibri"/>
                <w:b/>
                <w:color w:val="FFFFFF"/>
                <w:sz w:val="19"/>
              </w:rPr>
              <w:t>Exigence</w:t>
            </w:r>
          </w:p>
        </w:tc>
        <w:tc>
          <w:tcPr>
            <w:tcW w:type="dxa" w:w="850"/>
            <w:shd w:val="clear" w:fill="1F6F78"/>
            <w:tcMar>
              <w:top w:w="60" w:type="dxa"/>
              <w:bottom w:w="60" w:type="dxa"/>
              <w:start w:w="100" w:type="dxa"/>
              <w:end w:w="100" w:type="dxa"/>
            </w:tcMar>
          </w:tcPr>
          <w:p>
            <w:r/>
            <w:r>
              <w:rPr>
                <w:rFonts w:ascii="Calibri" w:hAnsi="Calibri"/>
                <w:b/>
                <w:color w:val="FFFFFF"/>
                <w:sz w:val="19"/>
              </w:rPr>
              <w:t>Prio</w:t>
            </w:r>
          </w:p>
        </w:tc>
        <w:tc>
          <w:tcPr>
            <w:tcW w:type="dxa" w:w="850"/>
            <w:shd w:val="clear" w:fill="1F6F78"/>
            <w:tcMar>
              <w:top w:w="60" w:type="dxa"/>
              <w:bottom w:w="60" w:type="dxa"/>
              <w:start w:w="100" w:type="dxa"/>
              <w:end w:w="100" w:type="dxa"/>
            </w:tcMar>
          </w:tcPr>
          <w:p>
            <w:r/>
            <w:r>
              <w:rPr>
                <w:rFonts w:ascii="Calibri" w:hAnsi="Calibri"/>
                <w:b/>
                <w:color w:val="FFFFFF"/>
                <w:sz w:val="19"/>
              </w:rPr>
              <w:t>Palier</w:t>
            </w:r>
          </w:p>
        </w:tc>
      </w:tr>
      <w:tr>
        <w:tc>
          <w:tcPr>
            <w:tcW w:type="dxa" w:w="1020"/>
            <w:tcMar>
              <w:top w:w="60" w:type="dxa"/>
              <w:bottom w:w="60" w:type="dxa"/>
              <w:start w:w="100" w:type="dxa"/>
              <w:end w:w="100" w:type="dxa"/>
            </w:tcMar>
          </w:tcPr>
          <w:p>
            <w:r/>
            <w:r>
              <w:rPr>
                <w:rFonts w:ascii="Calibri" w:hAnsi="Calibri"/>
                <w:b w:val="0"/>
                <w:sz w:val="19"/>
              </w:rPr>
              <w:t>EIA-001</w:t>
            </w:r>
          </w:p>
        </w:tc>
        <w:tc>
          <w:tcPr>
            <w:tcW w:type="dxa" w:w="5499"/>
            <w:tcMar>
              <w:top w:w="60" w:type="dxa"/>
              <w:bottom w:w="60" w:type="dxa"/>
              <w:start w:w="100" w:type="dxa"/>
              <w:end w:w="100" w:type="dxa"/>
            </w:tcMar>
          </w:tcPr>
          <w:p>
            <w:r/>
            <w:r>
              <w:rPr>
                <w:rFonts w:ascii="Calibri" w:hAnsi="Calibri"/>
                <w:b w:val="0"/>
                <w:sz w:val="19"/>
              </w:rPr>
              <w:t>Niveau 1 — IA locale iPhone (Apple Foundation Models) pour les tâches simples, fréquentes et sensibles.</w:t>
            </w:r>
          </w:p>
        </w:tc>
        <w:tc>
          <w:tcPr>
            <w:tcW w:type="dxa" w:w="850"/>
            <w:tcMar>
              <w:top w:w="60" w:type="dxa"/>
              <w:bottom w:w="60" w:type="dxa"/>
              <w:start w:w="100" w:type="dxa"/>
              <w:end w:w="100" w:type="dxa"/>
            </w:tcMar>
          </w:tcPr>
          <w:p>
            <w:r/>
            <w:r>
              <w:rPr>
                <w:rFonts w:ascii="Calibri" w:hAnsi="Calibri"/>
                <w:b w:val="0"/>
                <w:sz w:val="19"/>
              </w:rPr>
              <w:t>S</w:t>
            </w:r>
          </w:p>
        </w:tc>
        <w:tc>
          <w:tcPr>
            <w:tcW w:type="dxa" w:w="850"/>
            <w:tcMar>
              <w:top w:w="60" w:type="dxa"/>
              <w:bottom w:w="60" w:type="dxa"/>
              <w:start w:w="100" w:type="dxa"/>
              <w:end w:w="100" w:type="dxa"/>
            </w:tcMar>
          </w:tcPr>
          <w:p>
            <w:r/>
            <w:r>
              <w:rPr>
                <w:rFonts w:ascii="Calibri" w:hAnsi="Calibri"/>
                <w:b w:val="0"/>
                <w:sz w:val="19"/>
              </w:rPr>
              <w:t>P5</w:t>
            </w:r>
          </w:p>
        </w:tc>
      </w:tr>
      <w:tr>
        <w:tc>
          <w:tcPr>
            <w:tcW w:type="dxa" w:w="1020"/>
            <w:tcMar>
              <w:top w:w="60" w:type="dxa"/>
              <w:bottom w:w="60" w:type="dxa"/>
              <w:start w:w="100" w:type="dxa"/>
              <w:end w:w="100" w:type="dxa"/>
            </w:tcMar>
            <w:shd w:val="clear" w:fill="F6F8F9"/>
          </w:tcPr>
          <w:p>
            <w:r/>
            <w:r>
              <w:rPr>
                <w:rFonts w:ascii="Calibri" w:hAnsi="Calibri"/>
                <w:b w:val="0"/>
                <w:sz w:val="19"/>
              </w:rPr>
              <w:t>EIA-002</w:t>
            </w:r>
          </w:p>
        </w:tc>
        <w:tc>
          <w:tcPr>
            <w:tcW w:type="dxa" w:w="5499"/>
            <w:tcMar>
              <w:top w:w="60" w:type="dxa"/>
              <w:bottom w:w="60" w:type="dxa"/>
              <w:start w:w="100" w:type="dxa"/>
              <w:end w:w="100" w:type="dxa"/>
            </w:tcMar>
            <w:shd w:val="clear" w:fill="F6F8F9"/>
          </w:tcPr>
          <w:p>
            <w:r/>
            <w:r>
              <w:rPr>
                <w:rFonts w:ascii="Calibri" w:hAnsi="Calibri"/>
                <w:b w:val="0"/>
                <w:sz w:val="19"/>
              </w:rPr>
              <w:t>Niveau 2 — IA homelab GPU pour les analyses privées lourdes.</w:t>
            </w:r>
          </w:p>
        </w:tc>
        <w:tc>
          <w:tcPr>
            <w:tcW w:type="dxa" w:w="850"/>
            <w:tcMar>
              <w:top w:w="60" w:type="dxa"/>
              <w:bottom w:w="60" w:type="dxa"/>
              <w:start w:w="100" w:type="dxa"/>
              <w:end w:w="100" w:type="dxa"/>
            </w:tcMar>
            <w:shd w:val="clear" w:fill="F6F8F9"/>
          </w:tcPr>
          <w:p>
            <w:r/>
            <w:r>
              <w:rPr>
                <w:rFonts w:ascii="Calibri" w:hAnsi="Calibri"/>
                <w:b w:val="0"/>
                <w:sz w:val="19"/>
              </w:rPr>
              <w:t>S</w:t>
            </w:r>
          </w:p>
        </w:tc>
        <w:tc>
          <w:tcPr>
            <w:tcW w:type="dxa" w:w="850"/>
            <w:tcMar>
              <w:top w:w="60" w:type="dxa"/>
              <w:bottom w:w="60" w:type="dxa"/>
              <w:start w:w="100" w:type="dxa"/>
              <w:end w:w="100" w:type="dxa"/>
            </w:tcMar>
            <w:shd w:val="clear" w:fill="F6F8F9"/>
          </w:tcPr>
          <w:p>
            <w:r/>
            <w:r>
              <w:rPr>
                <w:rFonts w:ascii="Calibri" w:hAnsi="Calibri"/>
                <w:b w:val="0"/>
                <w:sz w:val="19"/>
              </w:rPr>
              <w:t>P5</w:t>
            </w:r>
          </w:p>
        </w:tc>
      </w:tr>
      <w:tr>
        <w:tc>
          <w:tcPr>
            <w:tcW w:type="dxa" w:w="1020"/>
            <w:tcMar>
              <w:top w:w="60" w:type="dxa"/>
              <w:bottom w:w="60" w:type="dxa"/>
              <w:start w:w="100" w:type="dxa"/>
              <w:end w:w="100" w:type="dxa"/>
            </w:tcMar>
          </w:tcPr>
          <w:p>
            <w:r/>
            <w:r>
              <w:rPr>
                <w:rFonts w:ascii="Calibri" w:hAnsi="Calibri"/>
                <w:b w:val="0"/>
                <w:sz w:val="19"/>
              </w:rPr>
              <w:t>EIA-003</w:t>
            </w:r>
          </w:p>
        </w:tc>
        <w:tc>
          <w:tcPr>
            <w:tcW w:type="dxa" w:w="5499"/>
            <w:tcMar>
              <w:top w:w="60" w:type="dxa"/>
              <w:bottom w:w="60" w:type="dxa"/>
              <w:start w:w="100" w:type="dxa"/>
              <w:end w:w="100" w:type="dxa"/>
            </w:tcMar>
          </w:tcPr>
          <w:p>
            <w:r/>
            <w:r>
              <w:rPr>
                <w:rFonts w:ascii="Calibri" w:hAnsi="Calibri"/>
                <w:b w:val="0"/>
                <w:sz w:val="19"/>
              </w:rPr>
              <w:t>Niveau 3 — IA cloud premium (Fable 5) pour les décisions complexes, sur données anonymisées.</w:t>
            </w:r>
          </w:p>
        </w:tc>
        <w:tc>
          <w:tcPr>
            <w:tcW w:type="dxa" w:w="850"/>
            <w:tcMar>
              <w:top w:w="60" w:type="dxa"/>
              <w:bottom w:w="60" w:type="dxa"/>
              <w:start w:w="100" w:type="dxa"/>
              <w:end w:w="100" w:type="dxa"/>
            </w:tcMar>
          </w:tcPr>
          <w:p>
            <w:r/>
            <w:r>
              <w:rPr>
                <w:rFonts w:ascii="Calibri" w:hAnsi="Calibri"/>
                <w:b w:val="0"/>
                <w:sz w:val="19"/>
              </w:rPr>
              <w:t>S</w:t>
            </w:r>
          </w:p>
        </w:tc>
        <w:tc>
          <w:tcPr>
            <w:tcW w:type="dxa" w:w="850"/>
            <w:tcMar>
              <w:top w:w="60" w:type="dxa"/>
              <w:bottom w:w="60" w:type="dxa"/>
              <w:start w:w="100" w:type="dxa"/>
              <w:end w:w="100" w:type="dxa"/>
            </w:tcMar>
          </w:tcPr>
          <w:p>
            <w:r/>
            <w:r>
              <w:rPr>
                <w:rFonts w:ascii="Calibri" w:hAnsi="Calibri"/>
                <w:b w:val="0"/>
                <w:sz w:val="19"/>
              </w:rPr>
              <w:t>P5</w:t>
            </w:r>
          </w:p>
        </w:tc>
      </w:tr>
      <w:tr>
        <w:tc>
          <w:tcPr>
            <w:tcW w:type="dxa" w:w="1020"/>
            <w:tcMar>
              <w:top w:w="60" w:type="dxa"/>
              <w:bottom w:w="60" w:type="dxa"/>
              <w:start w:w="100" w:type="dxa"/>
              <w:end w:w="100" w:type="dxa"/>
            </w:tcMar>
            <w:shd w:val="clear" w:fill="F6F8F9"/>
          </w:tcPr>
          <w:p>
            <w:r/>
            <w:r>
              <w:rPr>
                <w:rFonts w:ascii="Calibri" w:hAnsi="Calibri"/>
                <w:b w:val="0"/>
                <w:sz w:val="19"/>
              </w:rPr>
              <w:t>EIA-010</w:t>
            </w:r>
          </w:p>
        </w:tc>
        <w:tc>
          <w:tcPr>
            <w:tcW w:type="dxa" w:w="5499"/>
            <w:tcMar>
              <w:top w:w="60" w:type="dxa"/>
              <w:bottom w:w="60" w:type="dxa"/>
              <w:start w:w="100" w:type="dxa"/>
              <w:end w:w="100" w:type="dxa"/>
            </w:tcMar>
            <w:shd w:val="clear" w:fill="F6F8F9"/>
          </w:tcPr>
          <w:p>
            <w:r/>
            <w:r>
              <w:rPr>
                <w:rFonts w:ascii="Calibri" w:hAnsi="Calibri"/>
                <w:b w:val="0"/>
                <w:sz w:val="19"/>
              </w:rPr>
              <w:t>Module AI Router décidant du niveau cible pour chaque demande.</w:t>
            </w:r>
          </w:p>
        </w:tc>
        <w:tc>
          <w:tcPr>
            <w:tcW w:type="dxa" w:w="850"/>
            <w:tcMar>
              <w:top w:w="60" w:type="dxa"/>
              <w:bottom w:w="60" w:type="dxa"/>
              <w:start w:w="100" w:type="dxa"/>
              <w:end w:w="100" w:type="dxa"/>
            </w:tcMar>
            <w:shd w:val="clear" w:fill="F6F8F9"/>
          </w:tcPr>
          <w:p>
            <w:r/>
            <w:r>
              <w:rPr>
                <w:rFonts w:ascii="Calibri" w:hAnsi="Calibri"/>
                <w:b w:val="0"/>
                <w:sz w:val="19"/>
              </w:rPr>
              <w:t>S</w:t>
            </w:r>
          </w:p>
        </w:tc>
        <w:tc>
          <w:tcPr>
            <w:tcW w:type="dxa" w:w="850"/>
            <w:tcMar>
              <w:top w:w="60" w:type="dxa"/>
              <w:bottom w:w="60" w:type="dxa"/>
              <w:start w:w="100" w:type="dxa"/>
              <w:end w:w="100" w:type="dxa"/>
            </w:tcMar>
            <w:shd w:val="clear" w:fill="F6F8F9"/>
          </w:tcPr>
          <w:p>
            <w:r/>
            <w:r>
              <w:rPr>
                <w:rFonts w:ascii="Calibri" w:hAnsi="Calibri"/>
                <w:b w:val="0"/>
                <w:sz w:val="19"/>
              </w:rPr>
              <w:t>P5</w:t>
            </w:r>
          </w:p>
        </w:tc>
      </w:tr>
      <w:tr>
        <w:tc>
          <w:tcPr>
            <w:tcW w:type="dxa" w:w="1020"/>
            <w:tcMar>
              <w:top w:w="60" w:type="dxa"/>
              <w:bottom w:w="60" w:type="dxa"/>
              <w:start w:w="100" w:type="dxa"/>
              <w:end w:w="100" w:type="dxa"/>
            </w:tcMar>
          </w:tcPr>
          <w:p>
            <w:r/>
            <w:r>
              <w:rPr>
                <w:rFonts w:ascii="Calibri" w:hAnsi="Calibri"/>
                <w:b w:val="0"/>
                <w:sz w:val="19"/>
              </w:rPr>
              <w:t>EIA-011</w:t>
            </w:r>
          </w:p>
        </w:tc>
        <w:tc>
          <w:tcPr>
            <w:tcW w:type="dxa" w:w="5499"/>
            <w:tcMar>
              <w:top w:w="60" w:type="dxa"/>
              <w:bottom w:w="60" w:type="dxa"/>
              <w:start w:w="100" w:type="dxa"/>
              <w:end w:w="100" w:type="dxa"/>
            </w:tcMar>
          </w:tcPr>
          <w:p>
            <w:r/>
            <w:r>
              <w:rPr>
                <w:rFonts w:ascii="Calibri" w:hAnsi="Calibri"/>
                <w:b w:val="0"/>
                <w:sz w:val="19"/>
              </w:rPr>
              <w:t>Critères de routage : complexité, sensibilité, confidentialité, disponibilité homelab, coût cloud, temps de réponse, taille de contexte, niveau de raisonnement.</w:t>
            </w:r>
          </w:p>
        </w:tc>
        <w:tc>
          <w:tcPr>
            <w:tcW w:type="dxa" w:w="850"/>
            <w:tcMar>
              <w:top w:w="60" w:type="dxa"/>
              <w:bottom w:w="60" w:type="dxa"/>
              <w:start w:w="100" w:type="dxa"/>
              <w:end w:w="100" w:type="dxa"/>
            </w:tcMar>
          </w:tcPr>
          <w:p>
            <w:r/>
            <w:r>
              <w:rPr>
                <w:rFonts w:ascii="Calibri" w:hAnsi="Calibri"/>
                <w:b w:val="0"/>
                <w:sz w:val="19"/>
              </w:rPr>
              <w:t>S</w:t>
            </w:r>
          </w:p>
        </w:tc>
        <w:tc>
          <w:tcPr>
            <w:tcW w:type="dxa" w:w="850"/>
            <w:tcMar>
              <w:top w:w="60" w:type="dxa"/>
              <w:bottom w:w="60" w:type="dxa"/>
              <w:start w:w="100" w:type="dxa"/>
              <w:end w:w="100" w:type="dxa"/>
            </w:tcMar>
          </w:tcPr>
          <w:p>
            <w:r/>
            <w:r>
              <w:rPr>
                <w:rFonts w:ascii="Calibri" w:hAnsi="Calibri"/>
                <w:b w:val="0"/>
                <w:sz w:val="19"/>
              </w:rPr>
              <w:t>P5</w:t>
            </w:r>
          </w:p>
        </w:tc>
      </w:tr>
      <w:tr>
        <w:tc>
          <w:tcPr>
            <w:tcW w:type="dxa" w:w="1020"/>
            <w:tcMar>
              <w:top w:w="60" w:type="dxa"/>
              <w:bottom w:w="60" w:type="dxa"/>
              <w:start w:w="100" w:type="dxa"/>
              <w:end w:w="100" w:type="dxa"/>
            </w:tcMar>
            <w:shd w:val="clear" w:fill="F6F8F9"/>
          </w:tcPr>
          <w:p>
            <w:r/>
            <w:r>
              <w:rPr>
                <w:rFonts w:ascii="Calibri" w:hAnsi="Calibri"/>
                <w:b w:val="0"/>
                <w:sz w:val="19"/>
              </w:rPr>
              <w:t>EIA-012</w:t>
            </w:r>
          </w:p>
        </w:tc>
        <w:tc>
          <w:tcPr>
            <w:tcW w:type="dxa" w:w="5499"/>
            <w:tcMar>
              <w:top w:w="60" w:type="dxa"/>
              <w:bottom w:w="60" w:type="dxa"/>
              <w:start w:w="100" w:type="dxa"/>
              <w:end w:w="100" w:type="dxa"/>
            </w:tcMar>
            <w:shd w:val="clear" w:fill="F6F8F9"/>
          </w:tcPr>
          <w:p>
            <w:r/>
            <w:r>
              <w:rPr>
                <w:rFonts w:ascii="Calibri" w:hAnsi="Calibri"/>
                <w:b w:val="0"/>
                <w:sz w:val="19"/>
              </w:rPr>
              <w:t>Journalisation des décisions de routage (niveau choisi, motif).</w:t>
            </w:r>
          </w:p>
        </w:tc>
        <w:tc>
          <w:tcPr>
            <w:tcW w:type="dxa" w:w="850"/>
            <w:tcMar>
              <w:top w:w="60" w:type="dxa"/>
              <w:bottom w:w="60" w:type="dxa"/>
              <w:start w:w="100" w:type="dxa"/>
              <w:end w:w="100" w:type="dxa"/>
            </w:tcMar>
            <w:shd w:val="clear" w:fill="F6F8F9"/>
          </w:tcPr>
          <w:p>
            <w:r/>
            <w:r>
              <w:rPr>
                <w:rFonts w:ascii="Calibri" w:hAnsi="Calibri"/>
                <w:b w:val="0"/>
                <w:sz w:val="19"/>
              </w:rPr>
              <w:t>C</w:t>
            </w:r>
          </w:p>
        </w:tc>
        <w:tc>
          <w:tcPr>
            <w:tcW w:type="dxa" w:w="850"/>
            <w:tcMar>
              <w:top w:w="60" w:type="dxa"/>
              <w:bottom w:w="60" w:type="dxa"/>
              <w:start w:w="100" w:type="dxa"/>
              <w:end w:w="100" w:type="dxa"/>
            </w:tcMar>
            <w:shd w:val="clear" w:fill="F6F8F9"/>
          </w:tcPr>
          <w:p>
            <w:r/>
            <w:r>
              <w:rPr>
                <w:rFonts w:ascii="Calibri" w:hAnsi="Calibri"/>
                <w:b w:val="0"/>
                <w:sz w:val="19"/>
              </w:rPr>
              <w:t>P5</w:t>
            </w:r>
          </w:p>
        </w:tc>
      </w:tr>
      <w:tr>
        <w:tc>
          <w:tcPr>
            <w:tcW w:type="dxa" w:w="1020"/>
            <w:tcMar>
              <w:top w:w="60" w:type="dxa"/>
              <w:bottom w:w="60" w:type="dxa"/>
              <w:start w:w="100" w:type="dxa"/>
              <w:end w:w="100" w:type="dxa"/>
            </w:tcMar>
          </w:tcPr>
          <w:p>
            <w:r/>
            <w:r>
              <w:rPr>
                <w:rFonts w:ascii="Calibri" w:hAnsi="Calibri"/>
                <w:b w:val="0"/>
                <w:sz w:val="19"/>
              </w:rPr>
              <w:t>EIA-020</w:t>
            </w:r>
          </w:p>
        </w:tc>
        <w:tc>
          <w:tcPr>
            <w:tcW w:type="dxa" w:w="5499"/>
            <w:tcMar>
              <w:top w:w="60" w:type="dxa"/>
              <w:bottom w:w="60" w:type="dxa"/>
              <w:start w:w="100" w:type="dxa"/>
              <w:end w:w="100" w:type="dxa"/>
            </w:tcMar>
          </w:tcPr>
          <w:p>
            <w:r/>
            <w:r>
              <w:rPr>
                <w:rFonts w:ascii="Calibri" w:hAnsi="Calibri"/>
                <w:b w:val="0"/>
                <w:sz w:val="19"/>
              </w:rPr>
              <w:t>Fallback fluide niveau 1 → homelab avec message clair.</w:t>
            </w:r>
          </w:p>
        </w:tc>
        <w:tc>
          <w:tcPr>
            <w:tcW w:type="dxa" w:w="850"/>
            <w:tcMar>
              <w:top w:w="60" w:type="dxa"/>
              <w:bottom w:w="60" w:type="dxa"/>
              <w:start w:w="100" w:type="dxa"/>
              <w:end w:w="100" w:type="dxa"/>
            </w:tcMar>
          </w:tcPr>
          <w:p>
            <w:r/>
            <w:r>
              <w:rPr>
                <w:rFonts w:ascii="Calibri" w:hAnsi="Calibri"/>
                <w:b w:val="0"/>
                <w:sz w:val="19"/>
              </w:rPr>
              <w:t>S</w:t>
            </w:r>
          </w:p>
        </w:tc>
        <w:tc>
          <w:tcPr>
            <w:tcW w:type="dxa" w:w="850"/>
            <w:tcMar>
              <w:top w:w="60" w:type="dxa"/>
              <w:bottom w:w="60" w:type="dxa"/>
              <w:start w:w="100" w:type="dxa"/>
              <w:end w:w="100" w:type="dxa"/>
            </w:tcMar>
          </w:tcPr>
          <w:p>
            <w:r/>
            <w:r>
              <w:rPr>
                <w:rFonts w:ascii="Calibri" w:hAnsi="Calibri"/>
                <w:b w:val="0"/>
                <w:sz w:val="19"/>
              </w:rPr>
              <w:t>P5</w:t>
            </w:r>
          </w:p>
        </w:tc>
      </w:tr>
      <w:tr>
        <w:tc>
          <w:tcPr>
            <w:tcW w:type="dxa" w:w="1020"/>
            <w:tcMar>
              <w:top w:w="60" w:type="dxa"/>
              <w:bottom w:w="60" w:type="dxa"/>
              <w:start w:w="100" w:type="dxa"/>
              <w:end w:w="100" w:type="dxa"/>
            </w:tcMar>
            <w:shd w:val="clear" w:fill="F6F8F9"/>
          </w:tcPr>
          <w:p>
            <w:r/>
            <w:r>
              <w:rPr>
                <w:rFonts w:ascii="Calibri" w:hAnsi="Calibri"/>
                <w:b w:val="0"/>
                <w:sz w:val="19"/>
              </w:rPr>
              <w:t>EIA-021</w:t>
            </w:r>
          </w:p>
        </w:tc>
        <w:tc>
          <w:tcPr>
            <w:tcW w:type="dxa" w:w="5499"/>
            <w:tcMar>
              <w:top w:w="60" w:type="dxa"/>
              <w:bottom w:w="60" w:type="dxa"/>
              <w:start w:w="100" w:type="dxa"/>
              <w:end w:w="100" w:type="dxa"/>
            </w:tcMar>
            <w:shd w:val="clear" w:fill="F6F8F9"/>
          </w:tcPr>
          <w:p>
            <w:r/>
            <w:r>
              <w:rPr>
                <w:rFonts w:ascii="Calibri" w:hAnsi="Calibri"/>
                <w:b w:val="0"/>
                <w:sz w:val="19"/>
              </w:rPr>
              <w:t>Proposition de bascule vers le cloud si le homelab est indisponible.</w:t>
            </w:r>
          </w:p>
        </w:tc>
        <w:tc>
          <w:tcPr>
            <w:tcW w:type="dxa" w:w="850"/>
            <w:tcMar>
              <w:top w:w="60" w:type="dxa"/>
              <w:bottom w:w="60" w:type="dxa"/>
              <w:start w:w="100" w:type="dxa"/>
              <w:end w:w="100" w:type="dxa"/>
            </w:tcMar>
            <w:shd w:val="clear" w:fill="F6F8F9"/>
          </w:tcPr>
          <w:p>
            <w:r/>
            <w:r>
              <w:rPr>
                <w:rFonts w:ascii="Calibri" w:hAnsi="Calibri"/>
                <w:b w:val="0"/>
                <w:sz w:val="19"/>
              </w:rPr>
              <w:t>S</w:t>
            </w:r>
          </w:p>
        </w:tc>
        <w:tc>
          <w:tcPr>
            <w:tcW w:type="dxa" w:w="850"/>
            <w:tcMar>
              <w:top w:w="60" w:type="dxa"/>
              <w:bottom w:w="60" w:type="dxa"/>
              <w:start w:w="100" w:type="dxa"/>
              <w:end w:w="100" w:type="dxa"/>
            </w:tcMar>
            <w:shd w:val="clear" w:fill="F6F8F9"/>
          </w:tcPr>
          <w:p>
            <w:r/>
            <w:r>
              <w:rPr>
                <w:rFonts w:ascii="Calibri" w:hAnsi="Calibri"/>
                <w:b w:val="0"/>
                <w:sz w:val="19"/>
              </w:rPr>
              <w:t>P5</w:t>
            </w:r>
          </w:p>
        </w:tc>
      </w:tr>
      <w:tr>
        <w:tc>
          <w:tcPr>
            <w:tcW w:type="dxa" w:w="1020"/>
            <w:tcMar>
              <w:top w:w="60" w:type="dxa"/>
              <w:bottom w:w="60" w:type="dxa"/>
              <w:start w:w="100" w:type="dxa"/>
              <w:end w:w="100" w:type="dxa"/>
            </w:tcMar>
          </w:tcPr>
          <w:p>
            <w:r/>
            <w:r>
              <w:rPr>
                <w:rFonts w:ascii="Calibri" w:hAnsi="Calibri"/>
                <w:b w:val="0"/>
                <w:sz w:val="19"/>
              </w:rPr>
              <w:t>EIA-022</w:t>
            </w:r>
          </w:p>
        </w:tc>
        <w:tc>
          <w:tcPr>
            <w:tcW w:type="dxa" w:w="5499"/>
            <w:tcMar>
              <w:top w:w="60" w:type="dxa"/>
              <w:bottom w:w="60" w:type="dxa"/>
              <w:start w:w="100" w:type="dxa"/>
              <w:end w:w="100" w:type="dxa"/>
            </w:tcMar>
          </w:tcPr>
          <w:p>
            <w:r/>
            <w:r>
              <w:rPr>
                <w:rFonts w:ascii="Calibri" w:hAnsi="Calibri"/>
                <w:b w:val="0"/>
                <w:sz w:val="19"/>
              </w:rPr>
              <w:t>Confirmation explicite avant tout envoi cloud de données sensibles (anonymisation annoncée).</w:t>
            </w:r>
          </w:p>
        </w:tc>
        <w:tc>
          <w:tcPr>
            <w:tcW w:type="dxa" w:w="850"/>
            <w:tcMar>
              <w:top w:w="60" w:type="dxa"/>
              <w:bottom w:w="60" w:type="dxa"/>
              <w:start w:w="100" w:type="dxa"/>
              <w:end w:w="100" w:type="dxa"/>
            </w:tcMar>
          </w:tcPr>
          <w:p>
            <w:r/>
            <w:r>
              <w:rPr>
                <w:rFonts w:ascii="Calibri" w:hAnsi="Calibri"/>
                <w:b w:val="0"/>
                <w:sz w:val="19"/>
              </w:rPr>
              <w:t>M</w:t>
            </w:r>
          </w:p>
        </w:tc>
        <w:tc>
          <w:tcPr>
            <w:tcW w:type="dxa" w:w="850"/>
            <w:tcMar>
              <w:top w:w="60" w:type="dxa"/>
              <w:bottom w:w="60" w:type="dxa"/>
              <w:start w:w="100" w:type="dxa"/>
              <w:end w:w="100" w:type="dxa"/>
            </w:tcMar>
          </w:tcPr>
          <w:p>
            <w:r/>
            <w:r>
              <w:rPr>
                <w:rFonts w:ascii="Calibri" w:hAnsi="Calibri"/>
                <w:b w:val="0"/>
                <w:sz w:val="19"/>
              </w:rPr>
              <w:t>P5</w:t>
            </w:r>
          </w:p>
        </w:tc>
      </w:tr>
      <w:tr>
        <w:tc>
          <w:tcPr>
            <w:tcW w:type="dxa" w:w="1020"/>
            <w:tcMar>
              <w:top w:w="60" w:type="dxa"/>
              <w:bottom w:w="60" w:type="dxa"/>
              <w:start w:w="100" w:type="dxa"/>
              <w:end w:w="100" w:type="dxa"/>
            </w:tcMar>
            <w:shd w:val="clear" w:fill="F6F8F9"/>
          </w:tcPr>
          <w:p>
            <w:r/>
            <w:r>
              <w:rPr>
                <w:rFonts w:ascii="Calibri" w:hAnsi="Calibri"/>
                <w:b w:val="0"/>
                <w:sz w:val="19"/>
              </w:rPr>
              <w:t>EIA-030</w:t>
            </w:r>
          </w:p>
        </w:tc>
        <w:tc>
          <w:tcPr>
            <w:tcW w:type="dxa" w:w="5499"/>
            <w:tcMar>
              <w:top w:w="60" w:type="dxa"/>
              <w:bottom w:w="60" w:type="dxa"/>
              <w:start w:w="100" w:type="dxa"/>
              <w:end w:w="100" w:type="dxa"/>
            </w:tcMar>
            <w:shd w:val="clear" w:fill="F6F8F9"/>
          </w:tcPr>
          <w:p>
            <w:r/>
            <w:r>
              <w:rPr>
                <w:rFonts w:ascii="Calibri" w:hAnsi="Calibri"/>
                <w:b w:val="0"/>
                <w:sz w:val="19"/>
              </w:rPr>
              <w:t>Niveau N1 — local strict : jamais hors appareil/homelab.</w:t>
            </w:r>
          </w:p>
        </w:tc>
        <w:tc>
          <w:tcPr>
            <w:tcW w:type="dxa" w:w="850"/>
            <w:tcMar>
              <w:top w:w="60" w:type="dxa"/>
              <w:bottom w:w="60" w:type="dxa"/>
              <w:start w:w="100" w:type="dxa"/>
              <w:end w:w="100" w:type="dxa"/>
            </w:tcMar>
            <w:shd w:val="clear" w:fill="F6F8F9"/>
          </w:tcPr>
          <w:p>
            <w:r/>
            <w:r>
              <w:rPr>
                <w:rFonts w:ascii="Calibri" w:hAnsi="Calibri"/>
                <w:b w:val="0"/>
                <w:sz w:val="19"/>
              </w:rPr>
              <w:t>M</w:t>
            </w:r>
          </w:p>
        </w:tc>
        <w:tc>
          <w:tcPr>
            <w:tcW w:type="dxa" w:w="850"/>
            <w:tcMar>
              <w:top w:w="60" w:type="dxa"/>
              <w:bottom w:w="60" w:type="dxa"/>
              <w:start w:w="100" w:type="dxa"/>
              <w:end w:w="100" w:type="dxa"/>
            </w:tcMar>
            <w:shd w:val="clear" w:fill="F6F8F9"/>
          </w:tcPr>
          <w:p>
            <w:r/>
            <w:r>
              <w:rPr>
                <w:rFonts w:ascii="Calibri" w:hAnsi="Calibri"/>
                <w:b w:val="0"/>
                <w:sz w:val="19"/>
              </w:rPr>
              <w:t>P5</w:t>
            </w:r>
          </w:p>
        </w:tc>
      </w:tr>
      <w:tr>
        <w:tc>
          <w:tcPr>
            <w:tcW w:type="dxa" w:w="1020"/>
            <w:tcMar>
              <w:top w:w="60" w:type="dxa"/>
              <w:bottom w:w="60" w:type="dxa"/>
              <w:start w:w="100" w:type="dxa"/>
              <w:end w:w="100" w:type="dxa"/>
            </w:tcMar>
          </w:tcPr>
          <w:p>
            <w:r/>
            <w:r>
              <w:rPr>
                <w:rFonts w:ascii="Calibri" w:hAnsi="Calibri"/>
                <w:b w:val="0"/>
                <w:sz w:val="19"/>
              </w:rPr>
              <w:t>EIA-031</w:t>
            </w:r>
          </w:p>
        </w:tc>
        <w:tc>
          <w:tcPr>
            <w:tcW w:type="dxa" w:w="5499"/>
            <w:tcMar>
              <w:top w:w="60" w:type="dxa"/>
              <w:bottom w:w="60" w:type="dxa"/>
              <w:start w:w="100" w:type="dxa"/>
              <w:end w:w="100" w:type="dxa"/>
            </w:tcMar>
          </w:tcPr>
          <w:p>
            <w:r/>
            <w:r>
              <w:rPr>
                <w:rFonts w:ascii="Calibri" w:hAnsi="Calibri"/>
                <w:b w:val="0"/>
                <w:sz w:val="19"/>
              </w:rPr>
              <w:t>Niveau N2 — cloud anonymisé possible (sans nom, banque ni document brut).</w:t>
            </w:r>
          </w:p>
        </w:tc>
        <w:tc>
          <w:tcPr>
            <w:tcW w:type="dxa" w:w="850"/>
            <w:tcMar>
              <w:top w:w="60" w:type="dxa"/>
              <w:bottom w:w="60" w:type="dxa"/>
              <w:start w:w="100" w:type="dxa"/>
              <w:end w:w="100" w:type="dxa"/>
            </w:tcMar>
          </w:tcPr>
          <w:p>
            <w:r/>
            <w:r>
              <w:rPr>
                <w:rFonts w:ascii="Calibri" w:hAnsi="Calibri"/>
                <w:b w:val="0"/>
                <w:sz w:val="19"/>
              </w:rPr>
              <w:t>M</w:t>
            </w:r>
          </w:p>
        </w:tc>
        <w:tc>
          <w:tcPr>
            <w:tcW w:type="dxa" w:w="850"/>
            <w:tcMar>
              <w:top w:w="60" w:type="dxa"/>
              <w:bottom w:w="60" w:type="dxa"/>
              <w:start w:w="100" w:type="dxa"/>
              <w:end w:w="100" w:type="dxa"/>
            </w:tcMar>
          </w:tcPr>
          <w:p>
            <w:r/>
            <w:r>
              <w:rPr>
                <w:rFonts w:ascii="Calibri" w:hAnsi="Calibri"/>
                <w:b w:val="0"/>
                <w:sz w:val="19"/>
              </w:rPr>
              <w:t>P5</w:t>
            </w:r>
          </w:p>
        </w:tc>
      </w:tr>
      <w:tr>
        <w:tc>
          <w:tcPr>
            <w:tcW w:type="dxa" w:w="1020"/>
            <w:tcMar>
              <w:top w:w="60" w:type="dxa"/>
              <w:bottom w:w="60" w:type="dxa"/>
              <w:start w:w="100" w:type="dxa"/>
              <w:end w:w="100" w:type="dxa"/>
            </w:tcMar>
            <w:shd w:val="clear" w:fill="F6F8F9"/>
          </w:tcPr>
          <w:p>
            <w:r/>
            <w:r>
              <w:rPr>
                <w:rFonts w:ascii="Calibri" w:hAnsi="Calibri"/>
                <w:b w:val="0"/>
                <w:sz w:val="19"/>
              </w:rPr>
              <w:t>EIA-032</w:t>
            </w:r>
          </w:p>
        </w:tc>
        <w:tc>
          <w:tcPr>
            <w:tcW w:type="dxa" w:w="5499"/>
            <w:tcMar>
              <w:top w:w="60" w:type="dxa"/>
              <w:bottom w:w="60" w:type="dxa"/>
              <w:start w:w="100" w:type="dxa"/>
              <w:end w:w="100" w:type="dxa"/>
            </w:tcMar>
            <w:shd w:val="clear" w:fill="F6F8F9"/>
          </w:tcPr>
          <w:p>
            <w:r/>
            <w:r>
              <w:rPr>
                <w:rFonts w:ascii="Calibri" w:hAnsi="Calibri"/>
                <w:b w:val="0"/>
                <w:sz w:val="19"/>
              </w:rPr>
              <w:t>Niveau N3 — cloud interdit par défaut.</w:t>
            </w:r>
          </w:p>
        </w:tc>
        <w:tc>
          <w:tcPr>
            <w:tcW w:type="dxa" w:w="850"/>
            <w:tcMar>
              <w:top w:w="60" w:type="dxa"/>
              <w:bottom w:w="60" w:type="dxa"/>
              <w:start w:w="100" w:type="dxa"/>
              <w:end w:w="100" w:type="dxa"/>
            </w:tcMar>
            <w:shd w:val="clear" w:fill="F6F8F9"/>
          </w:tcPr>
          <w:p>
            <w:r/>
            <w:r>
              <w:rPr>
                <w:rFonts w:ascii="Calibri" w:hAnsi="Calibri"/>
                <w:b w:val="0"/>
                <w:sz w:val="19"/>
              </w:rPr>
              <w:t>M</w:t>
            </w:r>
          </w:p>
        </w:tc>
        <w:tc>
          <w:tcPr>
            <w:tcW w:type="dxa" w:w="850"/>
            <w:tcMar>
              <w:top w:w="60" w:type="dxa"/>
              <w:bottom w:w="60" w:type="dxa"/>
              <w:start w:w="100" w:type="dxa"/>
              <w:end w:w="100" w:type="dxa"/>
            </w:tcMar>
            <w:shd w:val="clear" w:fill="F6F8F9"/>
          </w:tcPr>
          <w:p>
            <w:r/>
            <w:r>
              <w:rPr>
                <w:rFonts w:ascii="Calibri" w:hAnsi="Calibri"/>
                <w:b w:val="0"/>
                <w:sz w:val="19"/>
              </w:rPr>
              <w:t>P5</w:t>
            </w:r>
          </w:p>
        </w:tc>
      </w:tr>
      <w:tr>
        <w:tc>
          <w:tcPr>
            <w:tcW w:type="dxa" w:w="1020"/>
            <w:tcMar>
              <w:top w:w="60" w:type="dxa"/>
              <w:bottom w:w="60" w:type="dxa"/>
              <w:start w:w="100" w:type="dxa"/>
              <w:end w:w="100" w:type="dxa"/>
            </w:tcMar>
          </w:tcPr>
          <w:p>
            <w:r/>
            <w:r>
              <w:rPr>
                <w:rFonts w:ascii="Calibri" w:hAnsi="Calibri"/>
                <w:b w:val="0"/>
                <w:sz w:val="19"/>
              </w:rPr>
              <w:t>EIA-033</w:t>
            </w:r>
          </w:p>
        </w:tc>
        <w:tc>
          <w:tcPr>
            <w:tcW w:type="dxa" w:w="5499"/>
            <w:tcMar>
              <w:top w:w="60" w:type="dxa"/>
              <w:bottom w:w="60" w:type="dxa"/>
              <w:start w:w="100" w:type="dxa"/>
              <w:end w:w="100" w:type="dxa"/>
            </w:tcMar>
          </w:tcPr>
          <w:p>
            <w:r/>
            <w:r>
              <w:rPr>
                <w:rFonts w:ascii="Calibri" w:hAnsi="Calibri"/>
                <w:b w:val="0"/>
                <w:sz w:val="19"/>
              </w:rPr>
              <w:t>Moteur d'anonymisation appliqué automatiquement avant tout envoi cloud (N2).</w:t>
            </w:r>
          </w:p>
        </w:tc>
        <w:tc>
          <w:tcPr>
            <w:tcW w:type="dxa" w:w="850"/>
            <w:tcMar>
              <w:top w:w="60" w:type="dxa"/>
              <w:bottom w:w="60" w:type="dxa"/>
              <w:start w:w="100" w:type="dxa"/>
              <w:end w:w="100" w:type="dxa"/>
            </w:tcMar>
          </w:tcPr>
          <w:p>
            <w:r/>
            <w:r>
              <w:rPr>
                <w:rFonts w:ascii="Calibri" w:hAnsi="Calibri"/>
                <w:b w:val="0"/>
                <w:sz w:val="19"/>
              </w:rPr>
              <w:t>M</w:t>
            </w:r>
          </w:p>
        </w:tc>
        <w:tc>
          <w:tcPr>
            <w:tcW w:type="dxa" w:w="850"/>
            <w:tcMar>
              <w:top w:w="60" w:type="dxa"/>
              <w:bottom w:w="60" w:type="dxa"/>
              <w:start w:w="100" w:type="dxa"/>
              <w:end w:w="100" w:type="dxa"/>
            </w:tcMar>
          </w:tcPr>
          <w:p>
            <w:r/>
            <w:r>
              <w:rPr>
                <w:rFonts w:ascii="Calibri" w:hAnsi="Calibri"/>
                <w:b w:val="0"/>
                <w:sz w:val="19"/>
              </w:rPr>
              <w:t>P5</w:t>
            </w:r>
          </w:p>
        </w:tc>
      </w:tr>
      <w:tr>
        <w:tc>
          <w:tcPr>
            <w:tcW w:type="dxa" w:w="1020"/>
            <w:tcMar>
              <w:top w:w="60" w:type="dxa"/>
              <w:bottom w:w="60" w:type="dxa"/>
              <w:start w:w="100" w:type="dxa"/>
              <w:end w:w="100" w:type="dxa"/>
            </w:tcMar>
            <w:shd w:val="clear" w:fill="F6F8F9"/>
          </w:tcPr>
          <w:p>
            <w:r/>
            <w:r>
              <w:rPr>
                <w:rFonts w:ascii="Calibri" w:hAnsi="Calibri"/>
                <w:b w:val="0"/>
                <w:sz w:val="19"/>
              </w:rPr>
              <w:t>EIA-034</w:t>
            </w:r>
          </w:p>
        </w:tc>
        <w:tc>
          <w:tcPr>
            <w:tcW w:type="dxa" w:w="5499"/>
            <w:tcMar>
              <w:top w:w="60" w:type="dxa"/>
              <w:bottom w:w="60" w:type="dxa"/>
              <w:start w:w="100" w:type="dxa"/>
              <w:end w:w="100" w:type="dxa"/>
            </w:tcMar>
            <w:shd w:val="clear" w:fill="F6F8F9"/>
          </w:tcPr>
          <w:p>
            <w:r/>
            <w:r>
              <w:rPr>
                <w:rFonts w:ascii="Calibri" w:hAnsi="Calibri"/>
                <w:b w:val="0"/>
                <w:sz w:val="19"/>
              </w:rPr>
              <w:t>Classification de chaque donnée selon son niveau N1/N2/N3.</w:t>
            </w:r>
          </w:p>
        </w:tc>
        <w:tc>
          <w:tcPr>
            <w:tcW w:type="dxa" w:w="850"/>
            <w:tcMar>
              <w:top w:w="60" w:type="dxa"/>
              <w:bottom w:w="60" w:type="dxa"/>
              <w:start w:w="100" w:type="dxa"/>
              <w:end w:w="100" w:type="dxa"/>
            </w:tcMar>
            <w:shd w:val="clear" w:fill="F6F8F9"/>
          </w:tcPr>
          <w:p>
            <w:r/>
            <w:r>
              <w:rPr>
                <w:rFonts w:ascii="Calibri" w:hAnsi="Calibri"/>
                <w:b w:val="0"/>
                <w:sz w:val="19"/>
              </w:rPr>
              <w:t>M</w:t>
            </w:r>
          </w:p>
        </w:tc>
        <w:tc>
          <w:tcPr>
            <w:tcW w:type="dxa" w:w="850"/>
            <w:tcMar>
              <w:top w:w="60" w:type="dxa"/>
              <w:bottom w:w="60" w:type="dxa"/>
              <w:start w:w="100" w:type="dxa"/>
              <w:end w:w="100" w:type="dxa"/>
            </w:tcMar>
            <w:shd w:val="clear" w:fill="F6F8F9"/>
          </w:tcPr>
          <w:p>
            <w:r/>
            <w:r>
              <w:rPr>
                <w:rFonts w:ascii="Calibri" w:hAnsi="Calibri"/>
                <w:b w:val="0"/>
                <w:sz w:val="19"/>
              </w:rPr>
              <w:t>P5</w:t>
            </w:r>
          </w:p>
        </w:tc>
      </w:tr>
      <w:tr>
        <w:tc>
          <w:tcPr>
            <w:tcW w:type="dxa" w:w="1020"/>
            <w:tcMar>
              <w:top w:w="60" w:type="dxa"/>
              <w:bottom w:w="60" w:type="dxa"/>
              <w:start w:w="100" w:type="dxa"/>
              <w:end w:w="100" w:type="dxa"/>
            </w:tcMar>
          </w:tcPr>
          <w:p>
            <w:r/>
            <w:r>
              <w:rPr>
                <w:rFonts w:ascii="Calibri" w:hAnsi="Calibri"/>
                <w:b w:val="0"/>
                <w:sz w:val="19"/>
              </w:rPr>
              <w:t>EIA-040</w:t>
            </w:r>
          </w:p>
        </w:tc>
        <w:tc>
          <w:tcPr>
            <w:tcW w:type="dxa" w:w="5499"/>
            <w:tcMar>
              <w:top w:w="60" w:type="dxa"/>
              <w:bottom w:w="60" w:type="dxa"/>
              <w:start w:w="100" w:type="dxa"/>
              <w:end w:w="100" w:type="dxa"/>
            </w:tcMar>
          </w:tcPr>
          <w:p>
            <w:r/>
            <w:r>
              <w:rPr>
                <w:rFonts w:ascii="Calibri" w:hAnsi="Calibri"/>
                <w:b w:val="0"/>
                <w:sz w:val="19"/>
              </w:rPr>
              <w:t>Tous les calculs financiers passent par le moteur déterministe (jamais l'IA seule).</w:t>
            </w:r>
          </w:p>
        </w:tc>
        <w:tc>
          <w:tcPr>
            <w:tcW w:type="dxa" w:w="850"/>
            <w:tcMar>
              <w:top w:w="60" w:type="dxa"/>
              <w:bottom w:w="60" w:type="dxa"/>
              <w:start w:w="100" w:type="dxa"/>
              <w:end w:w="100" w:type="dxa"/>
            </w:tcMar>
          </w:tcPr>
          <w:p>
            <w:r/>
            <w:r>
              <w:rPr>
                <w:rFonts w:ascii="Calibri" w:hAnsi="Calibri"/>
                <w:b w:val="0"/>
                <w:sz w:val="19"/>
              </w:rPr>
              <w:t>M</w:t>
            </w:r>
          </w:p>
        </w:tc>
        <w:tc>
          <w:tcPr>
            <w:tcW w:type="dxa" w:w="850"/>
            <w:tcMar>
              <w:top w:w="60" w:type="dxa"/>
              <w:bottom w:w="60" w:type="dxa"/>
              <w:start w:w="100" w:type="dxa"/>
              <w:end w:w="100" w:type="dxa"/>
            </w:tcMar>
          </w:tcPr>
          <w:p>
            <w:r/>
            <w:r>
              <w:rPr>
                <w:rFonts w:ascii="Calibri" w:hAnsi="Calibri"/>
                <w:b w:val="0"/>
                <w:sz w:val="19"/>
              </w:rPr>
              <w:t>P2</w:t>
            </w:r>
          </w:p>
        </w:tc>
      </w:tr>
      <w:tr>
        <w:tc>
          <w:tcPr>
            <w:tcW w:type="dxa" w:w="1020"/>
            <w:tcMar>
              <w:top w:w="60" w:type="dxa"/>
              <w:bottom w:w="60" w:type="dxa"/>
              <w:start w:w="100" w:type="dxa"/>
              <w:end w:w="100" w:type="dxa"/>
            </w:tcMar>
            <w:shd w:val="clear" w:fill="F6F8F9"/>
          </w:tcPr>
          <w:p>
            <w:r/>
            <w:r>
              <w:rPr>
                <w:rFonts w:ascii="Calibri" w:hAnsi="Calibri"/>
                <w:b w:val="0"/>
                <w:sz w:val="19"/>
              </w:rPr>
              <w:t>EIA-041</w:t>
            </w:r>
          </w:p>
        </w:tc>
        <w:tc>
          <w:tcPr>
            <w:tcW w:type="dxa" w:w="5499"/>
            <w:tcMar>
              <w:top w:w="60" w:type="dxa"/>
              <w:bottom w:w="60" w:type="dxa"/>
              <w:start w:w="100" w:type="dxa"/>
              <w:end w:w="100" w:type="dxa"/>
            </w:tcMar>
            <w:shd w:val="clear" w:fill="F6F8F9"/>
          </w:tcPr>
          <w:p>
            <w:r/>
            <w:r>
              <w:rPr>
                <w:rFonts w:ascii="Calibri" w:hAnsi="Calibri"/>
                <w:b w:val="0"/>
                <w:sz w:val="19"/>
              </w:rPr>
              <w:t>L'IA ne produit jamais de chiffre financier non issu du moteur.</w:t>
            </w:r>
          </w:p>
        </w:tc>
        <w:tc>
          <w:tcPr>
            <w:tcW w:type="dxa" w:w="850"/>
            <w:tcMar>
              <w:top w:w="60" w:type="dxa"/>
              <w:bottom w:w="60" w:type="dxa"/>
              <w:start w:w="100" w:type="dxa"/>
              <w:end w:w="100" w:type="dxa"/>
            </w:tcMar>
            <w:shd w:val="clear" w:fill="F6F8F9"/>
          </w:tcPr>
          <w:p>
            <w:r/>
            <w:r>
              <w:rPr>
                <w:rFonts w:ascii="Calibri" w:hAnsi="Calibri"/>
                <w:b w:val="0"/>
                <w:sz w:val="19"/>
              </w:rPr>
              <w:t>M</w:t>
            </w:r>
          </w:p>
        </w:tc>
        <w:tc>
          <w:tcPr>
            <w:tcW w:type="dxa" w:w="850"/>
            <w:tcMar>
              <w:top w:w="60" w:type="dxa"/>
              <w:bottom w:w="60" w:type="dxa"/>
              <w:start w:w="100" w:type="dxa"/>
              <w:end w:w="100" w:type="dxa"/>
            </w:tcMar>
            <w:shd w:val="clear" w:fill="F6F8F9"/>
          </w:tcPr>
          <w:p>
            <w:r/>
            <w:r>
              <w:rPr>
                <w:rFonts w:ascii="Calibri" w:hAnsi="Calibri"/>
                <w:b w:val="0"/>
                <w:sz w:val="19"/>
              </w:rPr>
              <w:t>P5</w:t>
            </w:r>
          </w:p>
        </w:tc>
      </w:tr>
      <w:tr>
        <w:tc>
          <w:tcPr>
            <w:tcW w:type="dxa" w:w="1020"/>
            <w:tcMar>
              <w:top w:w="60" w:type="dxa"/>
              <w:bottom w:w="60" w:type="dxa"/>
              <w:start w:w="100" w:type="dxa"/>
              <w:end w:w="100" w:type="dxa"/>
            </w:tcMar>
          </w:tcPr>
          <w:p>
            <w:r/>
            <w:r>
              <w:rPr>
                <w:rFonts w:ascii="Calibri" w:hAnsi="Calibri"/>
                <w:b w:val="0"/>
                <w:sz w:val="19"/>
              </w:rPr>
              <w:t>EIA-042</w:t>
            </w:r>
          </w:p>
        </w:tc>
        <w:tc>
          <w:tcPr>
            <w:tcW w:type="dxa" w:w="5499"/>
            <w:tcMar>
              <w:top w:w="60" w:type="dxa"/>
              <w:bottom w:w="60" w:type="dxa"/>
              <w:start w:w="100" w:type="dxa"/>
              <w:end w:w="100" w:type="dxa"/>
            </w:tcMar>
          </w:tcPr>
          <w:p>
            <w:r/>
            <w:r>
              <w:rPr>
                <w:rFonts w:ascii="Calibri" w:hAnsi="Calibri"/>
                <w:b w:val="0"/>
                <w:sz w:val="19"/>
              </w:rPr>
              <w:t>Le moteur expose des fonctions de calcul testables unitairement.</w:t>
            </w:r>
          </w:p>
        </w:tc>
        <w:tc>
          <w:tcPr>
            <w:tcW w:type="dxa" w:w="850"/>
            <w:tcMar>
              <w:top w:w="60" w:type="dxa"/>
              <w:bottom w:w="60" w:type="dxa"/>
              <w:start w:w="100" w:type="dxa"/>
              <w:end w:w="100" w:type="dxa"/>
            </w:tcMar>
          </w:tcPr>
          <w:p>
            <w:r/>
            <w:r>
              <w:rPr>
                <w:rFonts w:ascii="Calibri" w:hAnsi="Calibri"/>
                <w:b w:val="0"/>
                <w:sz w:val="19"/>
              </w:rPr>
              <w:t>M</w:t>
            </w:r>
          </w:p>
        </w:tc>
        <w:tc>
          <w:tcPr>
            <w:tcW w:type="dxa" w:w="850"/>
            <w:tcMar>
              <w:top w:w="60" w:type="dxa"/>
              <w:bottom w:w="60" w:type="dxa"/>
              <w:start w:w="100" w:type="dxa"/>
              <w:end w:w="100" w:type="dxa"/>
            </w:tcMar>
          </w:tcPr>
          <w:p>
            <w:r/>
            <w:r>
              <w:rPr>
                <w:rFonts w:ascii="Calibri" w:hAnsi="Calibri"/>
                <w:b w:val="0"/>
                <w:sz w:val="19"/>
              </w:rPr>
              <w:t>P2</w:t>
            </w:r>
          </w:p>
        </w:tc>
      </w:tr>
    </w:tbl>
    <w:p>
      <w:pPr>
        <w:spacing w:after="120"/>
      </w:pPr>
    </w:p>
    <w:p>
      <w:r>
        <w:br w:type="page"/>
      </w:r>
    </w:p>
    <w:p>
      <w:pPr>
        <w:pStyle w:val="Heading1"/>
      </w:pPr>
      <w:r>
        <w:t>9. Exigences non-fonctionnelles</w:t>
      </w:r>
    </w:p>
    <w:p>
      <w:pPr>
        <w:spacing w:after="120"/>
      </w:pPr>
      <w:r>
        <w:rPr>
          <w:i w:val="0"/>
        </w:rPr>
        <w:t>Au-delà des fonctionnalités, ces exigences conditionnent la qualité, la sécurité et la pérennité du produit.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020"/>
            <w:shd w:val="clear" w:fill="1F6F78"/>
            <w:tcMar>
              <w:top w:w="60" w:type="dxa"/>
              <w:bottom w:w="60" w:type="dxa"/>
              <w:start w:w="100" w:type="dxa"/>
              <w:end w:w="100" w:type="dxa"/>
            </w:tcMar>
          </w:tcPr>
          <w:p>
            <w:r/>
            <w:r>
              <w:rPr>
                <w:rFonts w:ascii="Calibri" w:hAnsi="Calibri"/>
                <w:b/>
                <w:color w:val="FFFFFF"/>
                <w:sz w:val="19"/>
              </w:rPr>
              <w:t>ID</w:t>
            </w:r>
          </w:p>
        </w:tc>
        <w:tc>
          <w:tcPr>
            <w:tcW w:type="dxa" w:w="1587"/>
            <w:shd w:val="clear" w:fill="1F6F78"/>
            <w:tcMar>
              <w:top w:w="60" w:type="dxa"/>
              <w:bottom w:w="60" w:type="dxa"/>
              <w:start w:w="100" w:type="dxa"/>
              <w:end w:w="100" w:type="dxa"/>
            </w:tcMar>
          </w:tcPr>
          <w:p>
            <w:r/>
            <w:r>
              <w:rPr>
                <w:rFonts w:ascii="Calibri" w:hAnsi="Calibri"/>
                <w:b/>
                <w:color w:val="FFFFFF"/>
                <w:sz w:val="19"/>
              </w:rPr>
              <w:t>Domaine</w:t>
            </w:r>
          </w:p>
        </w:tc>
        <w:tc>
          <w:tcPr>
            <w:tcW w:type="dxa" w:w="5046"/>
            <w:shd w:val="clear" w:fill="1F6F78"/>
            <w:tcMar>
              <w:top w:w="60" w:type="dxa"/>
              <w:bottom w:w="60" w:type="dxa"/>
              <w:start w:w="100" w:type="dxa"/>
              <w:end w:w="100" w:type="dxa"/>
            </w:tcMar>
          </w:tcPr>
          <w:p>
            <w:r/>
            <w:r>
              <w:rPr>
                <w:rFonts w:ascii="Calibri" w:hAnsi="Calibri"/>
                <w:b/>
                <w:color w:val="FFFFFF"/>
                <w:sz w:val="19"/>
              </w:rPr>
              <w:t>Exigence</w:t>
            </w:r>
          </w:p>
        </w:tc>
        <w:tc>
          <w:tcPr>
            <w:tcW w:type="dxa" w:w="850"/>
            <w:shd w:val="clear" w:fill="1F6F78"/>
            <w:tcMar>
              <w:top w:w="60" w:type="dxa"/>
              <w:bottom w:w="60" w:type="dxa"/>
              <w:start w:w="100" w:type="dxa"/>
              <w:end w:w="100" w:type="dxa"/>
            </w:tcMar>
          </w:tcPr>
          <w:p>
            <w:r/>
            <w:r>
              <w:rPr>
                <w:rFonts w:ascii="Calibri" w:hAnsi="Calibri"/>
                <w:b/>
                <w:color w:val="FFFFFF"/>
                <w:sz w:val="19"/>
              </w:rPr>
              <w:t>Prio</w:t>
            </w:r>
          </w:p>
        </w:tc>
      </w:tr>
      <w:tr>
        <w:tc>
          <w:tcPr>
            <w:tcW w:type="dxa" w:w="1020"/>
            <w:tcMar>
              <w:top w:w="60" w:type="dxa"/>
              <w:bottom w:w="60" w:type="dxa"/>
              <w:start w:w="100" w:type="dxa"/>
              <w:end w:w="100" w:type="dxa"/>
            </w:tcMar>
          </w:tcPr>
          <w:p>
            <w:r/>
            <w:r>
              <w:rPr>
                <w:rFonts w:ascii="Calibri" w:hAnsi="Calibri"/>
                <w:b w:val="0"/>
                <w:sz w:val="19"/>
              </w:rPr>
              <w:t>ENF-001</w:t>
            </w:r>
          </w:p>
        </w:tc>
        <w:tc>
          <w:tcPr>
            <w:tcW w:type="dxa" w:w="1587"/>
            <w:tcMar>
              <w:top w:w="60" w:type="dxa"/>
              <w:bottom w:w="60" w:type="dxa"/>
              <w:start w:w="100" w:type="dxa"/>
              <w:end w:w="100" w:type="dxa"/>
            </w:tcMar>
          </w:tcPr>
          <w:p>
            <w:r/>
            <w:r>
              <w:rPr>
                <w:rFonts w:ascii="Calibri" w:hAnsi="Calibri"/>
                <w:b w:val="0"/>
                <w:sz w:val="19"/>
              </w:rPr>
              <w:t>Performance</w:t>
            </w:r>
          </w:p>
        </w:tc>
        <w:tc>
          <w:tcPr>
            <w:tcW w:type="dxa" w:w="5046"/>
            <w:tcMar>
              <w:top w:w="60" w:type="dxa"/>
              <w:bottom w:w="60" w:type="dxa"/>
              <w:start w:w="100" w:type="dxa"/>
              <w:end w:w="100" w:type="dxa"/>
            </w:tcMar>
          </w:tcPr>
          <w:p>
            <w:r/>
            <w:r>
              <w:rPr>
                <w:rFonts w:ascii="Calibri" w:hAnsi="Calibri"/>
                <w:b w:val="0"/>
                <w:sz w:val="19"/>
              </w:rPr>
              <w:t>Interface iOS fluide (cible 60–120 fps), animations sans à-coups perceptibles.</w:t>
            </w:r>
          </w:p>
        </w:tc>
        <w:tc>
          <w:tcPr>
            <w:tcW w:type="dxa" w:w="850"/>
            <w:tcMar>
              <w:top w:w="60" w:type="dxa"/>
              <w:bottom w:w="60" w:type="dxa"/>
              <w:start w:w="100" w:type="dxa"/>
              <w:end w:w="100" w:type="dxa"/>
            </w:tcMar>
          </w:tcPr>
          <w:p>
            <w:r/>
            <w:r>
              <w:rPr>
                <w:rFonts w:ascii="Calibri" w:hAnsi="Calibri"/>
                <w:b w:val="0"/>
                <w:sz w:val="19"/>
              </w:rPr>
              <w:t>M</w:t>
            </w:r>
          </w:p>
        </w:tc>
      </w:tr>
      <w:tr>
        <w:tc>
          <w:tcPr>
            <w:tcW w:type="dxa" w:w="1020"/>
            <w:tcMar>
              <w:top w:w="60" w:type="dxa"/>
              <w:bottom w:w="60" w:type="dxa"/>
              <w:start w:w="100" w:type="dxa"/>
              <w:end w:w="100" w:type="dxa"/>
            </w:tcMar>
            <w:shd w:val="clear" w:fill="F6F8F9"/>
          </w:tcPr>
          <w:p>
            <w:r/>
            <w:r>
              <w:rPr>
                <w:rFonts w:ascii="Calibri" w:hAnsi="Calibri"/>
                <w:b w:val="0"/>
                <w:sz w:val="19"/>
              </w:rPr>
              <w:t>ENF-002</w:t>
            </w:r>
          </w:p>
        </w:tc>
        <w:tc>
          <w:tcPr>
            <w:tcW w:type="dxa" w:w="1587"/>
            <w:tcMar>
              <w:top w:w="60" w:type="dxa"/>
              <w:bottom w:w="60" w:type="dxa"/>
              <w:start w:w="100" w:type="dxa"/>
              <w:end w:w="100" w:type="dxa"/>
            </w:tcMar>
            <w:shd w:val="clear" w:fill="F6F8F9"/>
          </w:tcPr>
          <w:p>
            <w:r/>
            <w:r>
              <w:rPr>
                <w:rFonts w:ascii="Calibri" w:hAnsi="Calibri"/>
                <w:b w:val="0"/>
                <w:sz w:val="19"/>
              </w:rPr>
              <w:t>Performance</w:t>
            </w:r>
          </w:p>
        </w:tc>
        <w:tc>
          <w:tcPr>
            <w:tcW w:type="dxa" w:w="5046"/>
            <w:tcMar>
              <w:top w:w="60" w:type="dxa"/>
              <w:bottom w:w="60" w:type="dxa"/>
              <w:start w:w="100" w:type="dxa"/>
              <w:end w:w="100" w:type="dxa"/>
            </w:tcMar>
            <w:shd w:val="clear" w:fill="F6F8F9"/>
          </w:tcPr>
          <w:p>
            <w:r/>
            <w:r>
              <w:rPr>
                <w:rFonts w:ascii="Calibri" w:hAnsi="Calibri"/>
                <w:b w:val="0"/>
                <w:sz w:val="19"/>
              </w:rPr>
              <w:t>Réponse de l'API inférieure à 300 ms pour les lectures courantes.</w:t>
            </w:r>
          </w:p>
        </w:tc>
        <w:tc>
          <w:tcPr>
            <w:tcW w:type="dxa" w:w="850"/>
            <w:tcMar>
              <w:top w:w="60" w:type="dxa"/>
              <w:bottom w:w="60" w:type="dxa"/>
              <w:start w:w="100" w:type="dxa"/>
              <w:end w:w="100" w:type="dxa"/>
            </w:tcMar>
            <w:shd w:val="clear" w:fill="F6F8F9"/>
          </w:tcPr>
          <w:p>
            <w:r/>
            <w:r>
              <w:rPr>
                <w:rFonts w:ascii="Calibri" w:hAnsi="Calibri"/>
                <w:b w:val="0"/>
                <w:sz w:val="19"/>
              </w:rPr>
              <w:t>S</w:t>
            </w:r>
          </w:p>
        </w:tc>
      </w:tr>
      <w:tr>
        <w:tc>
          <w:tcPr>
            <w:tcW w:type="dxa" w:w="1020"/>
            <w:tcMar>
              <w:top w:w="60" w:type="dxa"/>
              <w:bottom w:w="60" w:type="dxa"/>
              <w:start w:w="100" w:type="dxa"/>
              <w:end w:w="100" w:type="dxa"/>
            </w:tcMar>
          </w:tcPr>
          <w:p>
            <w:r/>
            <w:r>
              <w:rPr>
                <w:rFonts w:ascii="Calibri" w:hAnsi="Calibri"/>
                <w:b w:val="0"/>
                <w:sz w:val="19"/>
              </w:rPr>
              <w:t>ENF-003</w:t>
            </w:r>
          </w:p>
        </w:tc>
        <w:tc>
          <w:tcPr>
            <w:tcW w:type="dxa" w:w="1587"/>
            <w:tcMar>
              <w:top w:w="60" w:type="dxa"/>
              <w:bottom w:w="60" w:type="dxa"/>
              <w:start w:w="100" w:type="dxa"/>
              <w:end w:w="100" w:type="dxa"/>
            </w:tcMar>
          </w:tcPr>
          <w:p>
            <w:r/>
            <w:r>
              <w:rPr>
                <w:rFonts w:ascii="Calibri" w:hAnsi="Calibri"/>
                <w:b w:val="0"/>
                <w:sz w:val="19"/>
              </w:rPr>
              <w:t>Sécurité</w:t>
            </w:r>
          </w:p>
        </w:tc>
        <w:tc>
          <w:tcPr>
            <w:tcW w:type="dxa" w:w="5046"/>
            <w:tcMar>
              <w:top w:w="60" w:type="dxa"/>
              <w:bottom w:w="60" w:type="dxa"/>
              <w:start w:w="100" w:type="dxa"/>
              <w:end w:w="100" w:type="dxa"/>
            </w:tcMar>
          </w:tcPr>
          <w:p>
            <w:r/>
            <w:r>
              <w:rPr>
                <w:rFonts w:ascii="Calibri" w:hAnsi="Calibri"/>
                <w:b w:val="0"/>
                <w:sz w:val="19"/>
              </w:rPr>
              <w:t>Données chiffrées au repos et en transit (TLS).</w:t>
            </w:r>
          </w:p>
        </w:tc>
        <w:tc>
          <w:tcPr>
            <w:tcW w:type="dxa" w:w="850"/>
            <w:tcMar>
              <w:top w:w="60" w:type="dxa"/>
              <w:bottom w:w="60" w:type="dxa"/>
              <w:start w:w="100" w:type="dxa"/>
              <w:end w:w="100" w:type="dxa"/>
            </w:tcMar>
          </w:tcPr>
          <w:p>
            <w:r/>
            <w:r>
              <w:rPr>
                <w:rFonts w:ascii="Calibri" w:hAnsi="Calibri"/>
                <w:b w:val="0"/>
                <w:sz w:val="19"/>
              </w:rPr>
              <w:t>M</w:t>
            </w:r>
          </w:p>
        </w:tc>
      </w:tr>
      <w:tr>
        <w:tc>
          <w:tcPr>
            <w:tcW w:type="dxa" w:w="1020"/>
            <w:tcMar>
              <w:top w:w="60" w:type="dxa"/>
              <w:bottom w:w="60" w:type="dxa"/>
              <w:start w:w="100" w:type="dxa"/>
              <w:end w:w="100" w:type="dxa"/>
            </w:tcMar>
            <w:shd w:val="clear" w:fill="F6F8F9"/>
          </w:tcPr>
          <w:p>
            <w:r/>
            <w:r>
              <w:rPr>
                <w:rFonts w:ascii="Calibri" w:hAnsi="Calibri"/>
                <w:b w:val="0"/>
                <w:sz w:val="19"/>
              </w:rPr>
              <w:t>ENF-004</w:t>
            </w:r>
          </w:p>
        </w:tc>
        <w:tc>
          <w:tcPr>
            <w:tcW w:type="dxa" w:w="1587"/>
            <w:tcMar>
              <w:top w:w="60" w:type="dxa"/>
              <w:bottom w:w="60" w:type="dxa"/>
              <w:start w:w="100" w:type="dxa"/>
              <w:end w:w="100" w:type="dxa"/>
            </w:tcMar>
            <w:shd w:val="clear" w:fill="F6F8F9"/>
          </w:tcPr>
          <w:p>
            <w:r/>
            <w:r>
              <w:rPr>
                <w:rFonts w:ascii="Calibri" w:hAnsi="Calibri"/>
                <w:b w:val="0"/>
                <w:sz w:val="19"/>
              </w:rPr>
              <w:t>Sécurité</w:t>
            </w:r>
          </w:p>
        </w:tc>
        <w:tc>
          <w:tcPr>
            <w:tcW w:type="dxa" w:w="5046"/>
            <w:tcMar>
              <w:top w:w="60" w:type="dxa"/>
              <w:bottom w:w="60" w:type="dxa"/>
              <w:start w:w="100" w:type="dxa"/>
              <w:end w:w="100" w:type="dxa"/>
            </w:tcMar>
            <w:shd w:val="clear" w:fill="F6F8F9"/>
          </w:tcPr>
          <w:p>
            <w:r/>
            <w:r>
              <w:rPr>
                <w:rFonts w:ascii="Calibri" w:hAnsi="Calibri"/>
                <w:b w:val="0"/>
                <w:sz w:val="19"/>
              </w:rPr>
              <w:t>Authentification par profil (Face ID/code), verrouillage automatique, journal d'accès.</w:t>
            </w:r>
          </w:p>
        </w:tc>
        <w:tc>
          <w:tcPr>
            <w:tcW w:type="dxa" w:w="850"/>
            <w:tcMar>
              <w:top w:w="60" w:type="dxa"/>
              <w:bottom w:w="60" w:type="dxa"/>
              <w:start w:w="100" w:type="dxa"/>
              <w:end w:w="100" w:type="dxa"/>
            </w:tcMar>
            <w:shd w:val="clear" w:fill="F6F8F9"/>
          </w:tcPr>
          <w:p>
            <w:r/>
            <w:r>
              <w:rPr>
                <w:rFonts w:ascii="Calibri" w:hAnsi="Calibri"/>
                <w:b w:val="0"/>
                <w:sz w:val="19"/>
              </w:rPr>
              <w:t>M</w:t>
            </w:r>
          </w:p>
        </w:tc>
      </w:tr>
      <w:tr>
        <w:tc>
          <w:tcPr>
            <w:tcW w:type="dxa" w:w="1020"/>
            <w:tcMar>
              <w:top w:w="60" w:type="dxa"/>
              <w:bottom w:w="60" w:type="dxa"/>
              <w:start w:w="100" w:type="dxa"/>
              <w:end w:w="100" w:type="dxa"/>
            </w:tcMar>
          </w:tcPr>
          <w:p>
            <w:r/>
            <w:r>
              <w:rPr>
                <w:rFonts w:ascii="Calibri" w:hAnsi="Calibri"/>
                <w:b w:val="0"/>
                <w:sz w:val="19"/>
              </w:rPr>
              <w:t>ENF-005</w:t>
            </w:r>
          </w:p>
        </w:tc>
        <w:tc>
          <w:tcPr>
            <w:tcW w:type="dxa" w:w="1587"/>
            <w:tcMar>
              <w:top w:w="60" w:type="dxa"/>
              <w:bottom w:w="60" w:type="dxa"/>
              <w:start w:w="100" w:type="dxa"/>
              <w:end w:w="100" w:type="dxa"/>
            </w:tcMar>
          </w:tcPr>
          <w:p>
            <w:r/>
            <w:r>
              <w:rPr>
                <w:rFonts w:ascii="Calibri" w:hAnsi="Calibri"/>
                <w:b w:val="0"/>
                <w:sz w:val="19"/>
              </w:rPr>
              <w:t>Confidentialité</w:t>
            </w:r>
          </w:p>
        </w:tc>
        <w:tc>
          <w:tcPr>
            <w:tcW w:type="dxa" w:w="5046"/>
            <w:tcMar>
              <w:top w:w="60" w:type="dxa"/>
              <w:bottom w:w="60" w:type="dxa"/>
              <w:start w:w="100" w:type="dxa"/>
              <w:end w:w="100" w:type="dxa"/>
            </w:tcMar>
          </w:tcPr>
          <w:p>
            <w:r/>
            <w:r>
              <w:rPr>
                <w:rFonts w:ascii="Calibri" w:hAnsi="Calibri"/>
                <w:b w:val="0"/>
                <w:sz w:val="19"/>
              </w:rPr>
              <w:t>Aucune revente de données ; IA locale d'abord ; cloud anonymisé et opt-in.</w:t>
            </w:r>
          </w:p>
        </w:tc>
        <w:tc>
          <w:tcPr>
            <w:tcW w:type="dxa" w:w="850"/>
            <w:tcMar>
              <w:top w:w="60" w:type="dxa"/>
              <w:bottom w:w="60" w:type="dxa"/>
              <w:start w:w="100" w:type="dxa"/>
              <w:end w:w="100" w:type="dxa"/>
            </w:tcMar>
          </w:tcPr>
          <w:p>
            <w:r/>
            <w:r>
              <w:rPr>
                <w:rFonts w:ascii="Calibri" w:hAnsi="Calibri"/>
                <w:b w:val="0"/>
                <w:sz w:val="19"/>
              </w:rPr>
              <w:t>M</w:t>
            </w:r>
          </w:p>
        </w:tc>
      </w:tr>
      <w:tr>
        <w:tc>
          <w:tcPr>
            <w:tcW w:type="dxa" w:w="1020"/>
            <w:tcMar>
              <w:top w:w="60" w:type="dxa"/>
              <w:bottom w:w="60" w:type="dxa"/>
              <w:start w:w="100" w:type="dxa"/>
              <w:end w:w="100" w:type="dxa"/>
            </w:tcMar>
            <w:shd w:val="clear" w:fill="F6F8F9"/>
          </w:tcPr>
          <w:p>
            <w:r/>
            <w:r>
              <w:rPr>
                <w:rFonts w:ascii="Calibri" w:hAnsi="Calibri"/>
                <w:b w:val="0"/>
                <w:sz w:val="19"/>
              </w:rPr>
              <w:t>ENF-006</w:t>
            </w:r>
          </w:p>
        </w:tc>
        <w:tc>
          <w:tcPr>
            <w:tcW w:type="dxa" w:w="1587"/>
            <w:tcMar>
              <w:top w:w="60" w:type="dxa"/>
              <w:bottom w:w="60" w:type="dxa"/>
              <w:start w:w="100" w:type="dxa"/>
              <w:end w:w="100" w:type="dxa"/>
            </w:tcMar>
            <w:shd w:val="clear" w:fill="F6F8F9"/>
          </w:tcPr>
          <w:p>
            <w:r/>
            <w:r>
              <w:rPr>
                <w:rFonts w:ascii="Calibri" w:hAnsi="Calibri"/>
                <w:b w:val="0"/>
                <w:sz w:val="19"/>
              </w:rPr>
              <w:t>Confidentialité</w:t>
            </w:r>
          </w:p>
        </w:tc>
        <w:tc>
          <w:tcPr>
            <w:tcW w:type="dxa" w:w="5046"/>
            <w:tcMar>
              <w:top w:w="60" w:type="dxa"/>
              <w:bottom w:w="60" w:type="dxa"/>
              <w:start w:w="100" w:type="dxa"/>
              <w:end w:w="100" w:type="dxa"/>
            </w:tcMar>
            <w:shd w:val="clear" w:fill="F6F8F9"/>
          </w:tcPr>
          <w:p>
            <w:r/>
            <w:r>
              <w:rPr>
                <w:rFonts w:ascii="Calibri" w:hAnsi="Calibri"/>
                <w:b w:val="0"/>
                <w:sz w:val="19"/>
              </w:rPr>
              <w:t>Respect strict des niveaux de confidentialité N1/N2/N3.</w:t>
            </w:r>
          </w:p>
        </w:tc>
        <w:tc>
          <w:tcPr>
            <w:tcW w:type="dxa" w:w="850"/>
            <w:tcMar>
              <w:top w:w="60" w:type="dxa"/>
              <w:bottom w:w="60" w:type="dxa"/>
              <w:start w:w="100" w:type="dxa"/>
              <w:end w:w="100" w:type="dxa"/>
            </w:tcMar>
            <w:shd w:val="clear" w:fill="F6F8F9"/>
          </w:tcPr>
          <w:p>
            <w:r/>
            <w:r>
              <w:rPr>
                <w:rFonts w:ascii="Calibri" w:hAnsi="Calibri"/>
                <w:b w:val="0"/>
                <w:sz w:val="19"/>
              </w:rPr>
              <w:t>M</w:t>
            </w:r>
          </w:p>
        </w:tc>
      </w:tr>
      <w:tr>
        <w:tc>
          <w:tcPr>
            <w:tcW w:type="dxa" w:w="1020"/>
            <w:tcMar>
              <w:top w:w="60" w:type="dxa"/>
              <w:bottom w:w="60" w:type="dxa"/>
              <w:start w:w="100" w:type="dxa"/>
              <w:end w:w="100" w:type="dxa"/>
            </w:tcMar>
          </w:tcPr>
          <w:p>
            <w:r/>
            <w:r>
              <w:rPr>
                <w:rFonts w:ascii="Calibri" w:hAnsi="Calibri"/>
                <w:b w:val="0"/>
                <w:sz w:val="19"/>
              </w:rPr>
              <w:t>ENF-007</w:t>
            </w:r>
          </w:p>
        </w:tc>
        <w:tc>
          <w:tcPr>
            <w:tcW w:type="dxa" w:w="1587"/>
            <w:tcMar>
              <w:top w:w="60" w:type="dxa"/>
              <w:bottom w:w="60" w:type="dxa"/>
              <w:start w:w="100" w:type="dxa"/>
              <w:end w:w="100" w:type="dxa"/>
            </w:tcMar>
          </w:tcPr>
          <w:p>
            <w:r/>
            <w:r>
              <w:rPr>
                <w:rFonts w:ascii="Calibri" w:hAnsi="Calibri"/>
                <w:b w:val="0"/>
                <w:sz w:val="19"/>
              </w:rPr>
              <w:t>Fiabilité</w:t>
            </w:r>
          </w:p>
        </w:tc>
        <w:tc>
          <w:tcPr>
            <w:tcW w:type="dxa" w:w="5046"/>
            <w:tcMar>
              <w:top w:w="60" w:type="dxa"/>
              <w:bottom w:w="60" w:type="dxa"/>
              <w:start w:w="100" w:type="dxa"/>
              <w:end w:w="100" w:type="dxa"/>
            </w:tcMar>
          </w:tcPr>
          <w:p>
            <w:r/>
            <w:r>
              <w:rPr>
                <w:rFonts w:ascii="Calibri" w:hAnsi="Calibri"/>
                <w:b w:val="0"/>
                <w:sz w:val="19"/>
              </w:rPr>
              <w:t>Montants en centimes (entiers) ou DECIMAL — jamais de nombre à virgule flottante.</w:t>
            </w:r>
          </w:p>
        </w:tc>
        <w:tc>
          <w:tcPr>
            <w:tcW w:type="dxa" w:w="850"/>
            <w:tcMar>
              <w:top w:w="60" w:type="dxa"/>
              <w:bottom w:w="60" w:type="dxa"/>
              <w:start w:w="100" w:type="dxa"/>
              <w:end w:w="100" w:type="dxa"/>
            </w:tcMar>
          </w:tcPr>
          <w:p>
            <w:r/>
            <w:r>
              <w:rPr>
                <w:rFonts w:ascii="Calibri" w:hAnsi="Calibri"/>
                <w:b w:val="0"/>
                <w:sz w:val="19"/>
              </w:rPr>
              <w:t>M</w:t>
            </w:r>
          </w:p>
        </w:tc>
      </w:tr>
      <w:tr>
        <w:tc>
          <w:tcPr>
            <w:tcW w:type="dxa" w:w="1020"/>
            <w:tcMar>
              <w:top w:w="60" w:type="dxa"/>
              <w:bottom w:w="60" w:type="dxa"/>
              <w:start w:w="100" w:type="dxa"/>
              <w:end w:w="100" w:type="dxa"/>
            </w:tcMar>
            <w:shd w:val="clear" w:fill="F6F8F9"/>
          </w:tcPr>
          <w:p>
            <w:r/>
            <w:r>
              <w:rPr>
                <w:rFonts w:ascii="Calibri" w:hAnsi="Calibri"/>
                <w:b w:val="0"/>
                <w:sz w:val="19"/>
              </w:rPr>
              <w:t>ENF-008</w:t>
            </w:r>
          </w:p>
        </w:tc>
        <w:tc>
          <w:tcPr>
            <w:tcW w:type="dxa" w:w="1587"/>
            <w:tcMar>
              <w:top w:w="60" w:type="dxa"/>
              <w:bottom w:w="60" w:type="dxa"/>
              <w:start w:w="100" w:type="dxa"/>
              <w:end w:w="100" w:type="dxa"/>
            </w:tcMar>
            <w:shd w:val="clear" w:fill="F6F8F9"/>
          </w:tcPr>
          <w:p>
            <w:r/>
            <w:r>
              <w:rPr>
                <w:rFonts w:ascii="Calibri" w:hAnsi="Calibri"/>
                <w:b w:val="0"/>
                <w:sz w:val="19"/>
              </w:rPr>
              <w:t>Disponibilité</w:t>
            </w:r>
          </w:p>
        </w:tc>
        <w:tc>
          <w:tcPr>
            <w:tcW w:type="dxa" w:w="5046"/>
            <w:tcMar>
              <w:top w:w="60" w:type="dxa"/>
              <w:bottom w:w="60" w:type="dxa"/>
              <w:start w:w="100" w:type="dxa"/>
              <w:end w:w="100" w:type="dxa"/>
            </w:tcMar>
            <w:shd w:val="clear" w:fill="F6F8F9"/>
          </w:tcPr>
          <w:p>
            <w:r/>
            <w:r>
              <w:rPr>
                <w:rFonts w:ascii="Calibri" w:hAnsi="Calibri"/>
                <w:b w:val="0"/>
                <w:sz w:val="19"/>
              </w:rPr>
              <w:t>Fonctionnement dégradé si le homelab ou le cloud sont indisponibles (fallback).</w:t>
            </w:r>
          </w:p>
        </w:tc>
        <w:tc>
          <w:tcPr>
            <w:tcW w:type="dxa" w:w="850"/>
            <w:tcMar>
              <w:top w:w="60" w:type="dxa"/>
              <w:bottom w:w="60" w:type="dxa"/>
              <w:start w:w="100" w:type="dxa"/>
              <w:end w:w="100" w:type="dxa"/>
            </w:tcMar>
            <w:shd w:val="clear" w:fill="F6F8F9"/>
          </w:tcPr>
          <w:p>
            <w:r/>
            <w:r>
              <w:rPr>
                <w:rFonts w:ascii="Calibri" w:hAnsi="Calibri"/>
                <w:b w:val="0"/>
                <w:sz w:val="19"/>
              </w:rPr>
              <w:t>S</w:t>
            </w:r>
          </w:p>
        </w:tc>
      </w:tr>
      <w:tr>
        <w:tc>
          <w:tcPr>
            <w:tcW w:type="dxa" w:w="1020"/>
            <w:tcMar>
              <w:top w:w="60" w:type="dxa"/>
              <w:bottom w:w="60" w:type="dxa"/>
              <w:start w:w="100" w:type="dxa"/>
              <w:end w:w="100" w:type="dxa"/>
            </w:tcMar>
          </w:tcPr>
          <w:p>
            <w:r/>
            <w:r>
              <w:rPr>
                <w:rFonts w:ascii="Calibri" w:hAnsi="Calibri"/>
                <w:b w:val="0"/>
                <w:sz w:val="19"/>
              </w:rPr>
              <w:t>ENF-009</w:t>
            </w:r>
          </w:p>
        </w:tc>
        <w:tc>
          <w:tcPr>
            <w:tcW w:type="dxa" w:w="1587"/>
            <w:tcMar>
              <w:top w:w="60" w:type="dxa"/>
              <w:bottom w:w="60" w:type="dxa"/>
              <w:start w:w="100" w:type="dxa"/>
              <w:end w:w="100" w:type="dxa"/>
            </w:tcMar>
          </w:tcPr>
          <w:p>
            <w:r/>
            <w:r>
              <w:rPr>
                <w:rFonts w:ascii="Calibri" w:hAnsi="Calibri"/>
                <w:b w:val="0"/>
                <w:sz w:val="19"/>
              </w:rPr>
              <w:t>Portabilité</w:t>
            </w:r>
          </w:p>
        </w:tc>
        <w:tc>
          <w:tcPr>
            <w:tcW w:type="dxa" w:w="5046"/>
            <w:tcMar>
              <w:top w:w="60" w:type="dxa"/>
              <w:bottom w:w="60" w:type="dxa"/>
              <w:start w:w="100" w:type="dxa"/>
              <w:end w:w="100" w:type="dxa"/>
            </w:tcMar>
          </w:tcPr>
          <w:p>
            <w:r/>
            <w:r>
              <w:rPr>
                <w:rFonts w:ascii="Calibri" w:hAnsi="Calibri"/>
                <w:b w:val="0"/>
                <w:sz w:val="19"/>
              </w:rPr>
              <w:t>Export complet des données utilisateur.</w:t>
            </w:r>
          </w:p>
        </w:tc>
        <w:tc>
          <w:tcPr>
            <w:tcW w:type="dxa" w:w="850"/>
            <w:tcMar>
              <w:top w:w="60" w:type="dxa"/>
              <w:bottom w:w="60" w:type="dxa"/>
              <w:start w:w="100" w:type="dxa"/>
              <w:end w:w="100" w:type="dxa"/>
            </w:tcMar>
          </w:tcPr>
          <w:p>
            <w:r/>
            <w:r>
              <w:rPr>
                <w:rFonts w:ascii="Calibri" w:hAnsi="Calibri"/>
                <w:b w:val="0"/>
                <w:sz w:val="19"/>
              </w:rPr>
              <w:t>S</w:t>
            </w:r>
          </w:p>
        </w:tc>
      </w:tr>
      <w:tr>
        <w:tc>
          <w:tcPr>
            <w:tcW w:type="dxa" w:w="1020"/>
            <w:tcMar>
              <w:top w:w="60" w:type="dxa"/>
              <w:bottom w:w="60" w:type="dxa"/>
              <w:start w:w="100" w:type="dxa"/>
              <w:end w:w="100" w:type="dxa"/>
            </w:tcMar>
            <w:shd w:val="clear" w:fill="F6F8F9"/>
          </w:tcPr>
          <w:p>
            <w:r/>
            <w:r>
              <w:rPr>
                <w:rFonts w:ascii="Calibri" w:hAnsi="Calibri"/>
                <w:b w:val="0"/>
                <w:sz w:val="19"/>
              </w:rPr>
              <w:t>ENF-010</w:t>
            </w:r>
          </w:p>
        </w:tc>
        <w:tc>
          <w:tcPr>
            <w:tcW w:type="dxa" w:w="1587"/>
            <w:tcMar>
              <w:top w:w="60" w:type="dxa"/>
              <w:bottom w:w="60" w:type="dxa"/>
              <w:start w:w="100" w:type="dxa"/>
              <w:end w:w="100" w:type="dxa"/>
            </w:tcMar>
            <w:shd w:val="clear" w:fill="F6F8F9"/>
          </w:tcPr>
          <w:p>
            <w:r/>
            <w:r>
              <w:rPr>
                <w:rFonts w:ascii="Calibri" w:hAnsi="Calibri"/>
                <w:b w:val="0"/>
                <w:sz w:val="19"/>
              </w:rPr>
              <w:t>Maintenabilité</w:t>
            </w:r>
          </w:p>
        </w:tc>
        <w:tc>
          <w:tcPr>
            <w:tcW w:type="dxa" w:w="5046"/>
            <w:tcMar>
              <w:top w:w="60" w:type="dxa"/>
              <w:bottom w:w="60" w:type="dxa"/>
              <w:start w:w="100" w:type="dxa"/>
              <w:end w:w="100" w:type="dxa"/>
            </w:tcMar>
            <w:shd w:val="clear" w:fill="F6F8F9"/>
          </w:tcPr>
          <w:p>
            <w:r/>
            <w:r>
              <w:rPr>
                <w:rFonts w:ascii="Calibri" w:hAnsi="Calibri"/>
                <w:b w:val="0"/>
                <w:sz w:val="19"/>
              </w:rPr>
              <w:t>Code testé (tests unitaires du moteur financier), intégration et déploiement continus.</w:t>
            </w:r>
          </w:p>
        </w:tc>
        <w:tc>
          <w:tcPr>
            <w:tcW w:type="dxa" w:w="850"/>
            <w:tcMar>
              <w:top w:w="60" w:type="dxa"/>
              <w:bottom w:w="60" w:type="dxa"/>
              <w:start w:w="100" w:type="dxa"/>
              <w:end w:w="100" w:type="dxa"/>
            </w:tcMar>
            <w:shd w:val="clear" w:fill="F6F8F9"/>
          </w:tcPr>
          <w:p>
            <w:r/>
            <w:r>
              <w:rPr>
                <w:rFonts w:ascii="Calibri" w:hAnsi="Calibri"/>
                <w:b w:val="0"/>
                <w:sz w:val="19"/>
              </w:rPr>
              <w:t>M</w:t>
            </w:r>
          </w:p>
        </w:tc>
      </w:tr>
      <w:tr>
        <w:tc>
          <w:tcPr>
            <w:tcW w:type="dxa" w:w="1020"/>
            <w:tcMar>
              <w:top w:w="60" w:type="dxa"/>
              <w:bottom w:w="60" w:type="dxa"/>
              <w:start w:w="100" w:type="dxa"/>
              <w:end w:w="100" w:type="dxa"/>
            </w:tcMar>
          </w:tcPr>
          <w:p>
            <w:r/>
            <w:r>
              <w:rPr>
                <w:rFonts w:ascii="Calibri" w:hAnsi="Calibri"/>
                <w:b w:val="0"/>
                <w:sz w:val="19"/>
              </w:rPr>
              <w:t>ENF-011</w:t>
            </w:r>
          </w:p>
        </w:tc>
        <w:tc>
          <w:tcPr>
            <w:tcW w:type="dxa" w:w="1587"/>
            <w:tcMar>
              <w:top w:w="60" w:type="dxa"/>
              <w:bottom w:w="60" w:type="dxa"/>
              <w:start w:w="100" w:type="dxa"/>
              <w:end w:w="100" w:type="dxa"/>
            </w:tcMar>
          </w:tcPr>
          <w:p>
            <w:r/>
            <w:r>
              <w:rPr>
                <w:rFonts w:ascii="Calibri" w:hAnsi="Calibri"/>
                <w:b w:val="0"/>
                <w:sz w:val="19"/>
              </w:rPr>
              <w:t>Observabilité</w:t>
            </w:r>
          </w:p>
        </w:tc>
        <w:tc>
          <w:tcPr>
            <w:tcW w:type="dxa" w:w="5046"/>
            <w:tcMar>
              <w:top w:w="60" w:type="dxa"/>
              <w:bottom w:w="60" w:type="dxa"/>
              <w:start w:w="100" w:type="dxa"/>
              <w:end w:w="100" w:type="dxa"/>
            </w:tcMar>
          </w:tcPr>
          <w:p>
            <w:r/>
            <w:r>
              <w:rPr>
                <w:rFonts w:ascii="Calibri" w:hAnsi="Calibri"/>
                <w:b w:val="0"/>
                <w:sz w:val="19"/>
              </w:rPr>
              <w:t>Logs structurés, métriques, suivi des routages IA.</w:t>
            </w:r>
          </w:p>
        </w:tc>
        <w:tc>
          <w:tcPr>
            <w:tcW w:type="dxa" w:w="850"/>
            <w:tcMar>
              <w:top w:w="60" w:type="dxa"/>
              <w:bottom w:w="60" w:type="dxa"/>
              <w:start w:w="100" w:type="dxa"/>
              <w:end w:w="100" w:type="dxa"/>
            </w:tcMar>
          </w:tcPr>
          <w:p>
            <w:r/>
            <w:r>
              <w:rPr>
                <w:rFonts w:ascii="Calibri" w:hAnsi="Calibri"/>
                <w:b w:val="0"/>
                <w:sz w:val="19"/>
              </w:rPr>
              <w:t>C</w:t>
            </w:r>
          </w:p>
        </w:tc>
      </w:tr>
      <w:tr>
        <w:tc>
          <w:tcPr>
            <w:tcW w:type="dxa" w:w="1020"/>
            <w:tcMar>
              <w:top w:w="60" w:type="dxa"/>
              <w:bottom w:w="60" w:type="dxa"/>
              <w:start w:w="100" w:type="dxa"/>
              <w:end w:w="100" w:type="dxa"/>
            </w:tcMar>
            <w:shd w:val="clear" w:fill="F6F8F9"/>
          </w:tcPr>
          <w:p>
            <w:r/>
            <w:r>
              <w:rPr>
                <w:rFonts w:ascii="Calibri" w:hAnsi="Calibri"/>
                <w:b w:val="0"/>
                <w:sz w:val="19"/>
              </w:rPr>
              <w:t>ENF-012</w:t>
            </w:r>
          </w:p>
        </w:tc>
        <w:tc>
          <w:tcPr>
            <w:tcW w:type="dxa" w:w="1587"/>
            <w:tcMar>
              <w:top w:w="60" w:type="dxa"/>
              <w:bottom w:w="60" w:type="dxa"/>
              <w:start w:w="100" w:type="dxa"/>
              <w:end w:w="100" w:type="dxa"/>
            </w:tcMar>
            <w:shd w:val="clear" w:fill="F6F8F9"/>
          </w:tcPr>
          <w:p>
            <w:r/>
            <w:r>
              <w:rPr>
                <w:rFonts w:ascii="Calibri" w:hAnsi="Calibri"/>
                <w:b w:val="0"/>
                <w:sz w:val="19"/>
              </w:rPr>
              <w:t>Accessibilité</w:t>
            </w:r>
          </w:p>
        </w:tc>
        <w:tc>
          <w:tcPr>
            <w:tcW w:type="dxa" w:w="5046"/>
            <w:tcMar>
              <w:top w:w="60" w:type="dxa"/>
              <w:bottom w:w="60" w:type="dxa"/>
              <w:start w:w="100" w:type="dxa"/>
              <w:end w:w="100" w:type="dxa"/>
            </w:tcMar>
            <w:shd w:val="clear" w:fill="F6F8F9"/>
          </w:tcPr>
          <w:p>
            <w:r/>
            <w:r>
              <w:rPr>
                <w:rFonts w:ascii="Calibri" w:hAnsi="Calibri"/>
                <w:b w:val="0"/>
                <w:sz w:val="19"/>
              </w:rPr>
              <w:t>Contraste suffisant, Dynamic Type, compatibilité VoiceOver sur iOS.</w:t>
            </w:r>
          </w:p>
        </w:tc>
        <w:tc>
          <w:tcPr>
            <w:tcW w:type="dxa" w:w="850"/>
            <w:tcMar>
              <w:top w:w="60" w:type="dxa"/>
              <w:bottom w:w="60" w:type="dxa"/>
              <w:start w:w="100" w:type="dxa"/>
              <w:end w:w="100" w:type="dxa"/>
            </w:tcMar>
            <w:shd w:val="clear" w:fill="F6F8F9"/>
          </w:tcPr>
          <w:p>
            <w:r/>
            <w:r>
              <w:rPr>
                <w:rFonts w:ascii="Calibri" w:hAnsi="Calibri"/>
                <w:b w:val="0"/>
                <w:sz w:val="19"/>
              </w:rPr>
              <w:t>S</w:t>
            </w:r>
          </w:p>
        </w:tc>
      </w:tr>
      <w:tr>
        <w:tc>
          <w:tcPr>
            <w:tcW w:type="dxa" w:w="1020"/>
            <w:tcMar>
              <w:top w:w="60" w:type="dxa"/>
              <w:bottom w:w="60" w:type="dxa"/>
              <w:start w:w="100" w:type="dxa"/>
              <w:end w:w="100" w:type="dxa"/>
            </w:tcMar>
          </w:tcPr>
          <w:p>
            <w:r/>
            <w:r>
              <w:rPr>
                <w:rFonts w:ascii="Calibri" w:hAnsi="Calibri"/>
                <w:b w:val="0"/>
                <w:sz w:val="19"/>
              </w:rPr>
              <w:t>ENF-013</w:t>
            </w:r>
          </w:p>
        </w:tc>
        <w:tc>
          <w:tcPr>
            <w:tcW w:type="dxa" w:w="1587"/>
            <w:tcMar>
              <w:top w:w="60" w:type="dxa"/>
              <w:bottom w:w="60" w:type="dxa"/>
              <w:start w:w="100" w:type="dxa"/>
              <w:end w:w="100" w:type="dxa"/>
            </w:tcMar>
          </w:tcPr>
          <w:p>
            <w:r/>
            <w:r>
              <w:rPr>
                <w:rFonts w:ascii="Calibri" w:hAnsi="Calibri"/>
                <w:b w:val="0"/>
                <w:sz w:val="19"/>
              </w:rPr>
              <w:t>Conformité</w:t>
            </w:r>
          </w:p>
        </w:tc>
        <w:tc>
          <w:tcPr>
            <w:tcW w:type="dxa" w:w="5046"/>
            <w:tcMar>
              <w:top w:w="60" w:type="dxa"/>
              <w:bottom w:w="60" w:type="dxa"/>
              <w:start w:w="100" w:type="dxa"/>
              <w:end w:w="100" w:type="dxa"/>
            </w:tcMar>
          </w:tcPr>
          <w:p>
            <w:r/>
            <w:r>
              <w:rPr>
                <w:rFonts w:ascii="Calibri" w:hAnsi="Calibri"/>
                <w:b w:val="0"/>
                <w:sz w:val="19"/>
              </w:rPr>
              <w:t>RGPD allégé (usage familial privé), aucun traceur tiers.</w:t>
            </w:r>
          </w:p>
        </w:tc>
        <w:tc>
          <w:tcPr>
            <w:tcW w:type="dxa" w:w="850"/>
            <w:tcMar>
              <w:top w:w="60" w:type="dxa"/>
              <w:bottom w:w="60" w:type="dxa"/>
              <w:start w:w="100" w:type="dxa"/>
              <w:end w:w="100" w:type="dxa"/>
            </w:tcMar>
          </w:tcPr>
          <w:p>
            <w:r/>
            <w:r>
              <w:rPr>
                <w:rFonts w:ascii="Calibri" w:hAnsi="Calibri"/>
                <w:b w:val="0"/>
                <w:sz w:val="19"/>
              </w:rPr>
              <w:t>S</w:t>
            </w:r>
          </w:p>
        </w:tc>
      </w:tr>
    </w:tbl>
    <w:p>
      <w:pPr>
        <w:spacing w:after="120"/>
      </w:pPr>
    </w:p>
    <w:p>
      <w:pPr>
        <w:pStyle w:val="Heading1"/>
      </w:pPr>
      <w:r>
        <w:t>10. Architecture technique</w:t>
      </w:r>
    </w:p>
    <w:p>
      <w:pPr>
        <w:spacing w:after="120"/>
      </w:pPr>
      <w:r>
        <w:rPr>
          <w:i w:val="0"/>
        </w:rPr>
        <w:t>L'architecture d'Opale sépare clairement les clients (iOS, Web), le backend commun, le moteur financier déterministe et la couche d'intelligence artificielle. Cette séparation garantit que les chiffres restent exacts (moteur déterministe), que la confidentialité est maîtrisée (IA en cascade), et que les deux clients partagent une source de vérité unique (backend Go + PostgreSQL).</w:t>
      </w:r>
    </w:p>
    <w:tbl>
      <w:tblPr>
        <w:tblStyle w:val="TableGrid"/>
        <w:tblW w:type="auto" w:w="0"/>
        <w:tblLook w:firstColumn="1" w:firstRow="1" w:lastColumn="0" w:lastRow="0" w:noHBand="0" w:noVBand="1" w:val="04A0"/>
      </w:tblPr>
      <w:tblGrid>
        <w:gridCol w:w="9746"/>
      </w:tblGrid>
      <w:tr>
        <w:tc>
          <w:tcPr>
            <w:tcW w:type="dxa" w:w="9746"/>
            <w:shd w:val="clear" w:fill="0F172A"/>
            <w:tcMar>
              <w:top w:w="120" w:type="dxa"/>
              <w:bottom w:w="120" w:type="dxa"/>
              <w:start w:w="160" w:type="dxa"/>
              <w:end w:w="160" w:type="dxa"/>
            </w:tcMar>
          </w:tcPr>
          <w:p>
            <w:pPr>
              <w:spacing w:after="0"/>
            </w:pPr>
            <w:r/>
            <w:r>
              <w:rPr>
                <w:rFonts w:ascii="Consolas" w:hAnsi="Consolas"/>
                <w:color w:val="E5EAF0"/>
                <w:sz w:val="19"/>
              </w:rPr>
              <w:t xml:space="preserve">  iOS (SwiftUI)        Web (React/Svelte)</w:t>
            </w:r>
          </w:p>
          <w:p>
            <w:pPr>
              <w:spacing w:after="0"/>
            </w:pPr>
            <w:r>
              <w:rPr>
                <w:rFonts w:ascii="Consolas" w:hAnsi="Consolas"/>
                <w:color w:val="E5EAF0"/>
                <w:sz w:val="19"/>
              </w:rPr>
              <w:t xml:space="preserve">        \                   /</w:t>
            </w:r>
          </w:p>
          <w:p>
            <w:pPr>
              <w:spacing w:after="0"/>
            </w:pPr>
            <w:r>
              <w:rPr>
                <w:rFonts w:ascii="Consolas" w:hAnsi="Consolas"/>
                <w:color w:val="E5EAF0"/>
                <w:sz w:val="19"/>
              </w:rPr>
              <w:t xml:space="preserve">         \                 /</w:t>
            </w:r>
          </w:p>
          <w:p>
            <w:pPr>
              <w:spacing w:after="0"/>
            </w:pPr>
            <w:r>
              <w:rPr>
                <w:rFonts w:ascii="Consolas" w:hAnsi="Consolas"/>
                <w:color w:val="E5EAF0"/>
                <w:sz w:val="19"/>
              </w:rPr>
              <w:t xml:space="preserve">            API REST (Go)</w:t>
            </w:r>
          </w:p>
          <w:p>
            <w:pPr>
              <w:spacing w:after="0"/>
            </w:pPr>
            <w:r>
              <w:rPr>
                <w:rFonts w:ascii="Consolas" w:hAnsi="Consolas"/>
                <w:color w:val="E5EAF0"/>
                <w:sz w:val="19"/>
              </w:rPr>
              <w:t xml:space="preserve">                 |</w:t>
            </w:r>
          </w:p>
          <w:p>
            <w:pPr>
              <w:spacing w:after="0"/>
            </w:pPr>
            <w:r>
              <w:rPr>
                <w:rFonts w:ascii="Consolas" w:hAnsi="Consolas"/>
                <w:color w:val="E5EAF0"/>
                <w:sz w:val="19"/>
              </w:rPr>
              <w:t xml:space="preserve">      Backend Go  +  PostgreSQL  &lt;-&gt;  Moteur financier (déterministe)</w:t>
            </w:r>
          </w:p>
          <w:p>
            <w:pPr>
              <w:spacing w:after="0"/>
            </w:pPr>
            <w:r>
              <w:rPr>
                <w:rFonts w:ascii="Consolas" w:hAnsi="Consolas"/>
                <w:color w:val="E5EAF0"/>
                <w:sz w:val="19"/>
              </w:rPr>
              <w:t xml:space="preserve">                 |</w:t>
            </w:r>
          </w:p>
          <w:p>
            <w:pPr>
              <w:spacing w:after="0"/>
            </w:pPr>
            <w:r>
              <w:rPr>
                <w:rFonts w:ascii="Consolas" w:hAnsi="Consolas"/>
                <w:color w:val="E5EAF0"/>
                <w:sz w:val="19"/>
              </w:rPr>
              <w:t xml:space="preserve">             AI Router</w:t>
            </w:r>
          </w:p>
          <w:p>
            <w:pPr>
              <w:spacing w:after="0"/>
            </w:pPr>
            <w:r>
              <w:rPr>
                <w:rFonts w:ascii="Consolas" w:hAnsi="Consolas"/>
                <w:color w:val="E5EAF0"/>
                <w:sz w:val="19"/>
              </w:rPr>
              <w:t xml:space="preserve">          /      |       \</w:t>
            </w:r>
          </w:p>
          <w:p>
            <w:pPr>
              <w:spacing w:after="0"/>
            </w:pPr>
            <w:r>
              <w:rPr>
                <w:rFonts w:ascii="Consolas" w:hAnsi="Consolas"/>
                <w:color w:val="E5EAF0"/>
                <w:sz w:val="19"/>
              </w:rPr>
              <w:t xml:space="preserve">   iPhone     Homelab GPU    Cloud (Fable 5, anonymisé)</w:t>
            </w:r>
          </w:p>
          <w:p>
            <w:pPr>
              <w:spacing w:after="0"/>
            </w:pPr>
            <w:r>
              <w:rPr>
                <w:rFonts w:ascii="Consolas" w:hAnsi="Consolas"/>
                <w:color w:val="E5EAF0"/>
                <w:sz w:val="19"/>
              </w:rPr>
              <w:t xml:space="preserve">   (N1)        (N2)           (N3)</w:t>
            </w:r>
          </w:p>
        </w:tc>
      </w:tr>
    </w:tbl>
    <w:p>
      <w:pPr>
        <w:spacing w:after="120"/>
      </w:pPr>
    </w:p>
    <w:p>
      <w:pPr>
        <w:pStyle w:val="Heading2"/>
      </w:pPr>
      <w:r>
        <w:t>10.1 Composants</w:t>
      </w:r>
    </w:p>
    <w:tbl>
      <w:tblPr>
        <w:tblStyle w:val="TableGrid"/>
        <w:tblW w:type="auto" w:w="0"/>
        <w:jc w:val="center"/>
        <w:tblLook w:firstColumn="1" w:firstRow="1" w:lastColumn="0" w:lastRow="0" w:noHBand="0" w:noVBand="1" w:val="04A0"/>
      </w:tblPr>
      <w:tblGrid>
        <w:gridCol w:w="4873"/>
        <w:gridCol w:w="4873"/>
      </w:tblGrid>
      <w:tr>
        <w:tc>
          <w:tcPr>
            <w:tcW w:type="dxa" w:w="2041"/>
            <w:shd w:val="clear" w:fill="1F6F78"/>
            <w:tcMar>
              <w:top w:w="60" w:type="dxa"/>
              <w:bottom w:w="60" w:type="dxa"/>
              <w:start w:w="100" w:type="dxa"/>
              <w:end w:w="100" w:type="dxa"/>
            </w:tcMar>
          </w:tcPr>
          <w:p>
            <w:r/>
            <w:r>
              <w:rPr>
                <w:rFonts w:ascii="Calibri" w:hAnsi="Calibri"/>
                <w:b/>
                <w:color w:val="FFFFFF"/>
                <w:sz w:val="19"/>
              </w:rPr>
              <w:t>Composant</w:t>
            </w:r>
          </w:p>
        </w:tc>
        <w:tc>
          <w:tcPr>
            <w:tcW w:type="dxa" w:w="6463"/>
            <w:shd w:val="clear" w:fill="1F6F78"/>
            <w:tcMar>
              <w:top w:w="60" w:type="dxa"/>
              <w:bottom w:w="60" w:type="dxa"/>
              <w:start w:w="100" w:type="dxa"/>
              <w:end w:w="100" w:type="dxa"/>
            </w:tcMar>
          </w:tcPr>
          <w:p>
            <w:r/>
            <w:r>
              <w:rPr>
                <w:rFonts w:ascii="Calibri" w:hAnsi="Calibri"/>
                <w:b/>
                <w:color w:val="FFFFFF"/>
                <w:sz w:val="19"/>
              </w:rPr>
              <w:t>Description</w:t>
            </w:r>
          </w:p>
        </w:tc>
      </w:tr>
      <w:tr>
        <w:tc>
          <w:tcPr>
            <w:tcW w:type="dxa" w:w="2041"/>
            <w:tcMar>
              <w:top w:w="60" w:type="dxa"/>
              <w:bottom w:w="60" w:type="dxa"/>
              <w:start w:w="100" w:type="dxa"/>
              <w:end w:w="100" w:type="dxa"/>
            </w:tcMar>
          </w:tcPr>
          <w:p>
            <w:r/>
            <w:r>
              <w:rPr>
                <w:rFonts w:ascii="Calibri" w:hAnsi="Calibri"/>
                <w:b w:val="0"/>
                <w:sz w:val="19"/>
              </w:rPr>
              <w:t>Client iOS</w:t>
            </w:r>
          </w:p>
        </w:tc>
        <w:tc>
          <w:tcPr>
            <w:tcW w:type="dxa" w:w="6463"/>
            <w:tcMar>
              <w:top w:w="60" w:type="dxa"/>
              <w:bottom w:w="60" w:type="dxa"/>
              <w:start w:w="100" w:type="dxa"/>
              <w:end w:w="100" w:type="dxa"/>
            </w:tcMar>
          </w:tcPr>
          <w:p>
            <w:r/>
            <w:r>
              <w:rPr>
                <w:rFonts w:ascii="Calibri" w:hAnsi="Calibri"/>
                <w:b w:val="0"/>
                <w:sz w:val="19"/>
              </w:rPr>
              <w:t>SwiftUI natif, pour une performance et une beauté maximales. Intègre Apple Foundation Models pour l'IA locale de niveau 1. Décision tranchée.</w:t>
            </w:r>
          </w:p>
        </w:tc>
      </w:tr>
      <w:tr>
        <w:tc>
          <w:tcPr>
            <w:tcW w:type="dxa" w:w="2041"/>
            <w:tcMar>
              <w:top w:w="60" w:type="dxa"/>
              <w:bottom w:w="60" w:type="dxa"/>
              <w:start w:w="100" w:type="dxa"/>
              <w:end w:w="100" w:type="dxa"/>
            </w:tcMar>
            <w:shd w:val="clear" w:fill="F6F8F9"/>
          </w:tcPr>
          <w:p>
            <w:r/>
            <w:r>
              <w:rPr>
                <w:rFonts w:ascii="Calibri" w:hAnsi="Calibri"/>
                <w:b w:val="0"/>
                <w:sz w:val="19"/>
              </w:rPr>
              <w:t>Client Web</w:t>
            </w:r>
          </w:p>
        </w:tc>
        <w:tc>
          <w:tcPr>
            <w:tcW w:type="dxa" w:w="6463"/>
            <w:tcMar>
              <w:top w:w="60" w:type="dxa"/>
              <w:bottom w:w="60" w:type="dxa"/>
              <w:start w:w="100" w:type="dxa"/>
              <w:end w:w="100" w:type="dxa"/>
            </w:tcMar>
            <w:shd w:val="clear" w:fill="F6F8F9"/>
          </w:tcPr>
          <w:p>
            <w:r/>
            <w:r>
              <w:rPr>
                <w:rFonts w:ascii="Calibri" w:hAnsi="Calibri"/>
                <w:b w:val="0"/>
                <w:sz w:val="19"/>
              </w:rPr>
              <w:t>React (ou Svelte) avec Tailwind, interface séparée et optimisée. Le framework reste à trancher ; le Web suit en priorité secondaire à partir de P1.</w:t>
            </w:r>
          </w:p>
        </w:tc>
      </w:tr>
      <w:tr>
        <w:tc>
          <w:tcPr>
            <w:tcW w:type="dxa" w:w="2041"/>
            <w:tcMar>
              <w:top w:w="60" w:type="dxa"/>
              <w:bottom w:w="60" w:type="dxa"/>
              <w:start w:w="100" w:type="dxa"/>
              <w:end w:w="100" w:type="dxa"/>
            </w:tcMar>
          </w:tcPr>
          <w:p>
            <w:r/>
            <w:r>
              <w:rPr>
                <w:rFonts w:ascii="Calibri" w:hAnsi="Calibri"/>
                <w:b w:val="0"/>
                <w:sz w:val="19"/>
              </w:rPr>
              <w:t>Backend</w:t>
            </w:r>
          </w:p>
        </w:tc>
        <w:tc>
          <w:tcPr>
            <w:tcW w:type="dxa" w:w="6463"/>
            <w:tcMar>
              <w:top w:w="60" w:type="dxa"/>
              <w:bottom w:w="60" w:type="dxa"/>
              <w:start w:w="100" w:type="dxa"/>
              <w:end w:w="100" w:type="dxa"/>
            </w:tcMar>
          </w:tcPr>
          <w:p>
            <w:r/>
            <w:r>
              <w:rPr>
                <w:rFonts w:ascii="Calibri" w:hAnsi="Calibri"/>
                <w:b w:val="0"/>
                <w:sz w:val="19"/>
              </w:rPr>
              <w:t>Go, exposant une API REST (et éventuellement GraphQL). Performance, simplicité et robustesse. Décision tranchée.</w:t>
            </w:r>
          </w:p>
        </w:tc>
      </w:tr>
      <w:tr>
        <w:tc>
          <w:tcPr>
            <w:tcW w:type="dxa" w:w="2041"/>
            <w:tcMar>
              <w:top w:w="60" w:type="dxa"/>
              <w:bottom w:w="60" w:type="dxa"/>
              <w:start w:w="100" w:type="dxa"/>
              <w:end w:w="100" w:type="dxa"/>
            </w:tcMar>
            <w:shd w:val="clear" w:fill="F6F8F9"/>
          </w:tcPr>
          <w:p>
            <w:r/>
            <w:r>
              <w:rPr>
                <w:rFonts w:ascii="Calibri" w:hAnsi="Calibri"/>
                <w:b w:val="0"/>
                <w:sz w:val="19"/>
              </w:rPr>
              <w:t>Base de données</w:t>
            </w:r>
          </w:p>
        </w:tc>
        <w:tc>
          <w:tcPr>
            <w:tcW w:type="dxa" w:w="6463"/>
            <w:tcMar>
              <w:top w:w="60" w:type="dxa"/>
              <w:bottom w:w="60" w:type="dxa"/>
              <w:start w:w="100" w:type="dxa"/>
              <w:end w:w="100" w:type="dxa"/>
            </w:tcMar>
            <w:shd w:val="clear" w:fill="F6F8F9"/>
          </w:tcPr>
          <w:p>
            <w:r/>
            <w:r>
              <w:rPr>
                <w:rFonts w:ascii="Calibri" w:hAnsi="Calibri"/>
                <w:b w:val="0"/>
                <w:sz w:val="19"/>
              </w:rPr>
              <w:t>PostgreSQL, pour ses garanties ACID et sa précision décimale. Décision tranchée.</w:t>
            </w:r>
          </w:p>
        </w:tc>
      </w:tr>
      <w:tr>
        <w:tc>
          <w:tcPr>
            <w:tcW w:type="dxa" w:w="2041"/>
            <w:tcMar>
              <w:top w:w="60" w:type="dxa"/>
              <w:bottom w:w="60" w:type="dxa"/>
              <w:start w:w="100" w:type="dxa"/>
              <w:end w:w="100" w:type="dxa"/>
            </w:tcMar>
          </w:tcPr>
          <w:p>
            <w:r/>
            <w:r>
              <w:rPr>
                <w:rFonts w:ascii="Calibri" w:hAnsi="Calibri"/>
                <w:b w:val="0"/>
                <w:sz w:val="19"/>
              </w:rPr>
              <w:t>Moteur financier</w:t>
            </w:r>
          </w:p>
        </w:tc>
        <w:tc>
          <w:tcPr>
            <w:tcW w:type="dxa" w:w="6463"/>
            <w:tcMar>
              <w:top w:w="60" w:type="dxa"/>
              <w:bottom w:w="60" w:type="dxa"/>
              <w:start w:w="100" w:type="dxa"/>
              <w:end w:w="100" w:type="dxa"/>
            </w:tcMar>
          </w:tcPr>
          <w:p>
            <w:r/>
            <w:r>
              <w:rPr>
                <w:rFonts w:ascii="Calibri" w:hAnsi="Calibri"/>
                <w:b w:val="0"/>
                <w:sz w:val="19"/>
              </w:rPr>
              <w:t>Module déterministe aux calculs purs, testé unitairement. Source unique de tous les chiffres financiers.</w:t>
            </w:r>
          </w:p>
        </w:tc>
      </w:tr>
      <w:tr>
        <w:tc>
          <w:tcPr>
            <w:tcW w:type="dxa" w:w="2041"/>
            <w:tcMar>
              <w:top w:w="60" w:type="dxa"/>
              <w:bottom w:w="60" w:type="dxa"/>
              <w:start w:w="100" w:type="dxa"/>
              <w:end w:w="100" w:type="dxa"/>
            </w:tcMar>
            <w:shd w:val="clear" w:fill="F6F8F9"/>
          </w:tcPr>
          <w:p>
            <w:r/>
            <w:r>
              <w:rPr>
                <w:rFonts w:ascii="Calibri" w:hAnsi="Calibri"/>
                <w:b w:val="0"/>
                <w:sz w:val="19"/>
              </w:rPr>
              <w:t>Intelligence artificielle</w:t>
            </w:r>
          </w:p>
        </w:tc>
        <w:tc>
          <w:tcPr>
            <w:tcW w:type="dxa" w:w="6463"/>
            <w:tcMar>
              <w:top w:w="60" w:type="dxa"/>
              <w:bottom w:w="60" w:type="dxa"/>
              <w:start w:w="100" w:type="dxa"/>
              <w:end w:w="100" w:type="dxa"/>
            </w:tcMar>
            <w:shd w:val="clear" w:fill="F6F8F9"/>
          </w:tcPr>
          <w:p>
            <w:r/>
            <w:r>
              <w:rPr>
                <w:rFonts w:ascii="Calibri" w:hAnsi="Calibri"/>
                <w:b w:val="0"/>
                <w:sz w:val="19"/>
              </w:rPr>
              <w:t>Cascade à trois niveaux (iPhone, homelab GPU, cloud Fable 5) orchestrée par l'AI Router, avec moteur d'anonymisation.</w:t>
            </w:r>
          </w:p>
        </w:tc>
      </w:tr>
      <w:tr>
        <w:tc>
          <w:tcPr>
            <w:tcW w:type="dxa" w:w="2041"/>
            <w:tcMar>
              <w:top w:w="60" w:type="dxa"/>
              <w:bottom w:w="60" w:type="dxa"/>
              <w:start w:w="100" w:type="dxa"/>
              <w:end w:w="100" w:type="dxa"/>
            </w:tcMar>
          </w:tcPr>
          <w:p>
            <w:r/>
            <w:r>
              <w:rPr>
                <w:rFonts w:ascii="Calibri" w:hAnsi="Calibri"/>
                <w:b w:val="0"/>
                <w:sz w:val="19"/>
              </w:rPr>
              <w:t>Hébergement</w:t>
            </w:r>
          </w:p>
        </w:tc>
        <w:tc>
          <w:tcPr>
            <w:tcW w:type="dxa" w:w="6463"/>
            <w:tcMar>
              <w:top w:w="60" w:type="dxa"/>
              <w:bottom w:w="60" w:type="dxa"/>
              <w:start w:w="100" w:type="dxa"/>
              <w:end w:w="100" w:type="dxa"/>
            </w:tcMar>
          </w:tcPr>
          <w:p>
            <w:r/>
            <w:r>
              <w:rPr>
                <w:rFonts w:ascii="Calibri" w:hAnsi="Calibri"/>
                <w:b w:val="0"/>
                <w:sz w:val="19"/>
              </w:rPr>
              <w:t>Homelab de l'utilisateur, conteneurisé (Docker / Coolify), avec intégration et déploiement continus.</w:t>
            </w:r>
          </w:p>
        </w:tc>
      </w:tr>
      <w:tr>
        <w:tc>
          <w:tcPr>
            <w:tcW w:type="dxa" w:w="2041"/>
            <w:tcMar>
              <w:top w:w="60" w:type="dxa"/>
              <w:bottom w:w="60" w:type="dxa"/>
              <w:start w:w="100" w:type="dxa"/>
              <w:end w:w="100" w:type="dxa"/>
            </w:tcMar>
            <w:shd w:val="clear" w:fill="F6F8F9"/>
          </w:tcPr>
          <w:p>
            <w:r/>
            <w:r>
              <w:rPr>
                <w:rFonts w:ascii="Calibri" w:hAnsi="Calibri"/>
                <w:b w:val="0"/>
                <w:sz w:val="19"/>
              </w:rPr>
              <w:t>Données bancaires</w:t>
            </w:r>
          </w:p>
        </w:tc>
        <w:tc>
          <w:tcPr>
            <w:tcW w:type="dxa" w:w="6463"/>
            <w:tcMar>
              <w:top w:w="60" w:type="dxa"/>
              <w:bottom w:w="60" w:type="dxa"/>
              <w:start w:w="100" w:type="dxa"/>
              <w:end w:w="100" w:type="dxa"/>
            </w:tcMar>
            <w:shd w:val="clear" w:fill="F6F8F9"/>
          </w:tcPr>
          <w:p>
            <w:r/>
            <w:r>
              <w:rPr>
                <w:rFonts w:ascii="Calibri" w:hAnsi="Calibri"/>
                <w:b w:val="0"/>
                <w:sz w:val="19"/>
              </w:rPr>
              <w:t>Import CSV/OFX en premier lieu, puis GoCardless (DSP2) en option. Actifs non bancaires saisis manuellement.</w:t>
            </w:r>
          </w:p>
        </w:tc>
      </w:tr>
    </w:tbl>
    <w:p>
      <w:pPr>
        <w:spacing w:after="120"/>
      </w:pPr>
    </w:p>
    <w:p>
      <w:pPr>
        <w:pStyle w:val="Heading1"/>
      </w:pPr>
      <w:r>
        <w:t>11. Modèle de données</w:t>
      </w:r>
    </w:p>
    <w:p>
      <w:pPr>
        <w:spacing w:after="120"/>
      </w:pPr>
      <w:r>
        <w:rPr>
          <w:i w:val="0"/>
        </w:rPr>
        <w:t>Les actifs et passifs sont des entités de premier rang, chacune dotée d'un historique de valorisations. Une transaction n'est pas le centre du modèle : c'est un mouvement qui affecte un compte ou un actif. Le tableau précise le palier d'introduction de chaque entité.</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fill="1F6F78"/>
            <w:tcMar>
              <w:top w:w="60" w:type="dxa"/>
              <w:bottom w:w="60" w:type="dxa"/>
              <w:start w:w="100" w:type="dxa"/>
              <w:end w:w="100" w:type="dxa"/>
            </w:tcMar>
          </w:tcPr>
          <w:p>
            <w:r/>
            <w:r>
              <w:rPr>
                <w:rFonts w:ascii="Calibri" w:hAnsi="Calibri"/>
                <w:b/>
                <w:color w:val="FFFFFF"/>
                <w:sz w:val="19"/>
              </w:rPr>
              <w:t>Entité</w:t>
            </w:r>
          </w:p>
        </w:tc>
        <w:tc>
          <w:tcPr>
            <w:tcW w:type="dxa" w:w="907"/>
            <w:shd w:val="clear" w:fill="1F6F78"/>
            <w:tcMar>
              <w:top w:w="60" w:type="dxa"/>
              <w:bottom w:w="60" w:type="dxa"/>
              <w:start w:w="100" w:type="dxa"/>
              <w:end w:w="100" w:type="dxa"/>
            </w:tcMar>
          </w:tcPr>
          <w:p>
            <w:r/>
            <w:r>
              <w:rPr>
                <w:rFonts w:ascii="Calibri" w:hAnsi="Calibri"/>
                <w:b/>
                <w:color w:val="FFFFFF"/>
                <w:sz w:val="19"/>
              </w:rPr>
              <w:t>Palier</w:t>
            </w:r>
          </w:p>
        </w:tc>
        <w:tc>
          <w:tcPr>
            <w:tcW w:type="dxa" w:w="5669"/>
            <w:shd w:val="clear" w:fill="1F6F78"/>
            <w:tcMar>
              <w:top w:w="60" w:type="dxa"/>
              <w:bottom w:w="60" w:type="dxa"/>
              <w:start w:w="100" w:type="dxa"/>
              <w:end w:w="100" w:type="dxa"/>
            </w:tcMar>
          </w:tcPr>
          <w:p>
            <w:r/>
            <w:r>
              <w:rPr>
                <w:rFonts w:ascii="Calibri" w:hAnsi="Calibri"/>
                <w:b/>
                <w:color w:val="FFFFFF"/>
                <w:sz w:val="19"/>
              </w:rPr>
              <w:t>Rôle</w:t>
            </w:r>
          </w:p>
        </w:tc>
      </w:tr>
      <w:tr>
        <w:tc>
          <w:tcPr>
            <w:tcW w:type="dxa" w:w="1928"/>
            <w:tcMar>
              <w:top w:w="60" w:type="dxa"/>
              <w:bottom w:w="60" w:type="dxa"/>
              <w:start w:w="100" w:type="dxa"/>
              <w:end w:w="100" w:type="dxa"/>
            </w:tcMar>
          </w:tcPr>
          <w:p>
            <w:r/>
            <w:r>
              <w:rPr>
                <w:rFonts w:ascii="Calibri" w:hAnsi="Calibri"/>
                <w:b w:val="0"/>
                <w:sz w:val="19"/>
              </w:rPr>
              <w:t>Profile</w:t>
            </w:r>
          </w:p>
        </w:tc>
        <w:tc>
          <w:tcPr>
            <w:tcW w:type="dxa" w:w="907"/>
            <w:tcMar>
              <w:top w:w="60" w:type="dxa"/>
              <w:bottom w:w="60" w:type="dxa"/>
              <w:start w:w="100" w:type="dxa"/>
              <w:end w:w="100" w:type="dxa"/>
            </w:tcMar>
          </w:tcPr>
          <w:p>
            <w:r/>
            <w:r>
              <w:rPr>
                <w:rFonts w:ascii="Calibri" w:hAnsi="Calibri"/>
                <w:b w:val="0"/>
                <w:sz w:val="19"/>
              </w:rPr>
              <w:t>P0</w:t>
            </w:r>
          </w:p>
        </w:tc>
        <w:tc>
          <w:tcPr>
            <w:tcW w:type="dxa" w:w="5669"/>
            <w:tcMar>
              <w:top w:w="60" w:type="dxa"/>
              <w:bottom w:w="60" w:type="dxa"/>
              <w:start w:w="100" w:type="dxa"/>
              <w:end w:w="100" w:type="dxa"/>
            </w:tcMar>
          </w:tcPr>
          <w:p>
            <w:r/>
            <w:r>
              <w:rPr>
                <w:rFonts w:ascii="Calibri" w:hAnsi="Calibri"/>
                <w:b w:val="0"/>
                <w:sz w:val="19"/>
              </w:rPr>
              <w:t>Profil utilisateur (toi, parents, proche). Porte les paramètres de confidentialité par défaut. Cloison de données racine.</w:t>
            </w:r>
          </w:p>
        </w:tc>
      </w:tr>
      <w:tr>
        <w:tc>
          <w:tcPr>
            <w:tcW w:type="dxa" w:w="1928"/>
            <w:tcMar>
              <w:top w:w="60" w:type="dxa"/>
              <w:bottom w:w="60" w:type="dxa"/>
              <w:start w:w="100" w:type="dxa"/>
              <w:end w:w="100" w:type="dxa"/>
            </w:tcMar>
            <w:shd w:val="clear" w:fill="F6F8F9"/>
          </w:tcPr>
          <w:p>
            <w:r/>
            <w:r>
              <w:rPr>
                <w:rFonts w:ascii="Calibri" w:hAnsi="Calibri"/>
                <w:b w:val="0"/>
                <w:sz w:val="19"/>
              </w:rPr>
              <w:t>Session</w:t>
            </w:r>
          </w:p>
        </w:tc>
        <w:tc>
          <w:tcPr>
            <w:tcW w:type="dxa" w:w="907"/>
            <w:tcMar>
              <w:top w:w="60" w:type="dxa"/>
              <w:bottom w:w="60" w:type="dxa"/>
              <w:start w:w="100" w:type="dxa"/>
              <w:end w:w="100" w:type="dxa"/>
            </w:tcMar>
            <w:shd w:val="clear" w:fill="F6F8F9"/>
          </w:tcPr>
          <w:p>
            <w:r/>
            <w:r>
              <w:rPr>
                <w:rFonts w:ascii="Calibri" w:hAnsi="Calibri"/>
                <w:b w:val="0"/>
                <w:sz w:val="19"/>
              </w:rPr>
              <w:t>P0</w:t>
            </w:r>
          </w:p>
        </w:tc>
        <w:tc>
          <w:tcPr>
            <w:tcW w:type="dxa" w:w="5669"/>
            <w:tcMar>
              <w:top w:w="60" w:type="dxa"/>
              <w:bottom w:w="60" w:type="dxa"/>
              <w:start w:w="100" w:type="dxa"/>
              <w:end w:w="100" w:type="dxa"/>
            </w:tcMar>
            <w:shd w:val="clear" w:fill="F6F8F9"/>
          </w:tcPr>
          <w:p>
            <w:r/>
            <w:r>
              <w:rPr>
                <w:rFonts w:ascii="Calibri" w:hAnsi="Calibri"/>
                <w:b w:val="0"/>
                <w:sz w:val="19"/>
              </w:rPr>
              <w:t>Session authentifiée d'un profil : empreinte de jeton opaque et expiration.</w:t>
            </w:r>
          </w:p>
        </w:tc>
      </w:tr>
      <w:tr>
        <w:tc>
          <w:tcPr>
            <w:tcW w:type="dxa" w:w="1928"/>
            <w:tcMar>
              <w:top w:w="60" w:type="dxa"/>
              <w:bottom w:w="60" w:type="dxa"/>
              <w:start w:w="100" w:type="dxa"/>
              <w:end w:w="100" w:type="dxa"/>
            </w:tcMar>
          </w:tcPr>
          <w:p>
            <w:r/>
            <w:r>
              <w:rPr>
                <w:rFonts w:ascii="Calibri" w:hAnsi="Calibri"/>
                <w:b w:val="0"/>
                <w:sz w:val="19"/>
              </w:rPr>
              <w:t>Asset</w:t>
            </w:r>
          </w:p>
        </w:tc>
        <w:tc>
          <w:tcPr>
            <w:tcW w:type="dxa" w:w="907"/>
            <w:tcMar>
              <w:top w:w="60" w:type="dxa"/>
              <w:bottom w:w="60" w:type="dxa"/>
              <w:start w:w="100" w:type="dxa"/>
              <w:end w:w="100" w:type="dxa"/>
            </w:tcMar>
          </w:tcPr>
          <w:p>
            <w:r/>
            <w:r>
              <w:rPr>
                <w:rFonts w:ascii="Calibri" w:hAnsi="Calibri"/>
                <w:b w:val="0"/>
                <w:sz w:val="19"/>
              </w:rPr>
              <w:t>P0</w:t>
            </w:r>
          </w:p>
        </w:tc>
        <w:tc>
          <w:tcPr>
            <w:tcW w:type="dxa" w:w="5669"/>
            <w:tcMar>
              <w:top w:w="60" w:type="dxa"/>
              <w:bottom w:w="60" w:type="dxa"/>
              <w:start w:w="100" w:type="dxa"/>
              <w:end w:w="100" w:type="dxa"/>
            </w:tcMar>
          </w:tcPr>
          <w:p>
            <w:r/>
            <w:r>
              <w:rPr>
                <w:rFonts w:ascii="Calibri" w:hAnsi="Calibri"/>
                <w:b w:val="0"/>
                <w:sz w:val="19"/>
              </w:rPr>
              <w:t>Actif de premier rang : compte, livret, placement, immobilier, objet, part d'entreprise. Type, devise, note, état d'archivage.</w:t>
            </w:r>
          </w:p>
        </w:tc>
      </w:tr>
      <w:tr>
        <w:tc>
          <w:tcPr>
            <w:tcW w:type="dxa" w:w="1928"/>
            <w:tcMar>
              <w:top w:w="60" w:type="dxa"/>
              <w:bottom w:w="60" w:type="dxa"/>
              <w:start w:w="100" w:type="dxa"/>
              <w:end w:w="100" w:type="dxa"/>
            </w:tcMar>
            <w:shd w:val="clear" w:fill="F6F8F9"/>
          </w:tcPr>
          <w:p>
            <w:r/>
            <w:r>
              <w:rPr>
                <w:rFonts w:ascii="Calibri" w:hAnsi="Calibri"/>
                <w:b w:val="0"/>
                <w:sz w:val="19"/>
              </w:rPr>
              <w:t>Liability</w:t>
            </w:r>
          </w:p>
        </w:tc>
        <w:tc>
          <w:tcPr>
            <w:tcW w:type="dxa" w:w="907"/>
            <w:tcMar>
              <w:top w:w="60" w:type="dxa"/>
              <w:bottom w:w="60" w:type="dxa"/>
              <w:start w:w="100" w:type="dxa"/>
              <w:end w:w="100" w:type="dxa"/>
            </w:tcMar>
            <w:shd w:val="clear" w:fill="F6F8F9"/>
          </w:tcPr>
          <w:p>
            <w:r/>
            <w:r>
              <w:rPr>
                <w:rFonts w:ascii="Calibri" w:hAnsi="Calibri"/>
                <w:b w:val="0"/>
                <w:sz w:val="19"/>
              </w:rPr>
              <w:t>P0</w:t>
            </w:r>
          </w:p>
        </w:tc>
        <w:tc>
          <w:tcPr>
            <w:tcW w:type="dxa" w:w="5669"/>
            <w:tcMar>
              <w:top w:w="60" w:type="dxa"/>
              <w:bottom w:w="60" w:type="dxa"/>
              <w:start w:w="100" w:type="dxa"/>
              <w:end w:w="100" w:type="dxa"/>
            </w:tcMar>
            <w:shd w:val="clear" w:fill="F6F8F9"/>
          </w:tcPr>
          <w:p>
            <w:r/>
            <w:r>
              <w:rPr>
                <w:rFonts w:ascii="Calibri" w:hAnsi="Calibri"/>
                <w:b w:val="0"/>
                <w:sz w:val="19"/>
              </w:rPr>
              <w:t>Passif de premier rang : crédit immobilier, auto, conso. Type, devise, note, état d'archivage.</w:t>
            </w:r>
          </w:p>
        </w:tc>
      </w:tr>
      <w:tr>
        <w:tc>
          <w:tcPr>
            <w:tcW w:type="dxa" w:w="1928"/>
            <w:tcMar>
              <w:top w:w="60" w:type="dxa"/>
              <w:bottom w:w="60" w:type="dxa"/>
              <w:start w:w="100" w:type="dxa"/>
              <w:end w:w="100" w:type="dxa"/>
            </w:tcMar>
          </w:tcPr>
          <w:p>
            <w:r/>
            <w:r>
              <w:rPr>
                <w:rFonts w:ascii="Calibri" w:hAnsi="Calibri"/>
                <w:b w:val="0"/>
                <w:sz w:val="19"/>
              </w:rPr>
              <w:t>Valuation</w:t>
            </w:r>
          </w:p>
        </w:tc>
        <w:tc>
          <w:tcPr>
            <w:tcW w:type="dxa" w:w="907"/>
            <w:tcMar>
              <w:top w:w="60" w:type="dxa"/>
              <w:bottom w:w="60" w:type="dxa"/>
              <w:start w:w="100" w:type="dxa"/>
              <w:end w:w="100" w:type="dxa"/>
            </w:tcMar>
          </w:tcPr>
          <w:p>
            <w:r/>
            <w:r>
              <w:rPr>
                <w:rFonts w:ascii="Calibri" w:hAnsi="Calibri"/>
                <w:b w:val="0"/>
                <w:sz w:val="19"/>
              </w:rPr>
              <w:t>P0</w:t>
            </w:r>
          </w:p>
        </w:tc>
        <w:tc>
          <w:tcPr>
            <w:tcW w:type="dxa" w:w="5669"/>
            <w:tcMar>
              <w:top w:w="60" w:type="dxa"/>
              <w:bottom w:w="60" w:type="dxa"/>
              <w:start w:w="100" w:type="dxa"/>
              <w:end w:w="100" w:type="dxa"/>
            </w:tcMar>
          </w:tcPr>
          <w:p>
            <w:r/>
            <w:r>
              <w:rPr>
                <w:rFonts w:ascii="Calibri" w:hAnsi="Calibri"/>
                <w:b w:val="0"/>
                <w:sz w:val="19"/>
              </w:rPr>
              <w:t>Snapshot daté de la valeur (en centimes) d'un actif ou d'un passif. Source des courbes de patrimoine net.</w:t>
            </w:r>
          </w:p>
        </w:tc>
      </w:tr>
      <w:tr>
        <w:tc>
          <w:tcPr>
            <w:tcW w:type="dxa" w:w="1928"/>
            <w:tcMar>
              <w:top w:w="60" w:type="dxa"/>
              <w:bottom w:w="60" w:type="dxa"/>
              <w:start w:w="100" w:type="dxa"/>
              <w:end w:w="100" w:type="dxa"/>
            </w:tcMar>
            <w:shd w:val="clear" w:fill="F6F8F9"/>
          </w:tcPr>
          <w:p>
            <w:r/>
            <w:r>
              <w:rPr>
                <w:rFonts w:ascii="Calibri" w:hAnsi="Calibri"/>
                <w:b w:val="0"/>
                <w:sz w:val="19"/>
              </w:rPr>
              <w:t>Category / Subcategory</w:t>
            </w:r>
          </w:p>
        </w:tc>
        <w:tc>
          <w:tcPr>
            <w:tcW w:type="dxa" w:w="907"/>
            <w:tcMar>
              <w:top w:w="60" w:type="dxa"/>
              <w:bottom w:w="60" w:type="dxa"/>
              <w:start w:w="100" w:type="dxa"/>
              <w:end w:w="100" w:type="dxa"/>
            </w:tcMar>
            <w:shd w:val="clear" w:fill="F6F8F9"/>
          </w:tcPr>
          <w:p>
            <w:r/>
            <w:r>
              <w:rPr>
                <w:rFonts w:ascii="Calibri" w:hAnsi="Calibri"/>
                <w:b w:val="0"/>
                <w:sz w:val="19"/>
              </w:rPr>
              <w:t>P3</w:t>
            </w:r>
          </w:p>
        </w:tc>
        <w:tc>
          <w:tcPr>
            <w:tcW w:type="dxa" w:w="5669"/>
            <w:tcMar>
              <w:top w:w="60" w:type="dxa"/>
              <w:bottom w:w="60" w:type="dxa"/>
              <w:start w:w="100" w:type="dxa"/>
              <w:end w:w="100" w:type="dxa"/>
            </w:tcMar>
            <w:shd w:val="clear" w:fill="F6F8F9"/>
          </w:tcPr>
          <w:p>
            <w:r/>
            <w:r>
              <w:rPr>
                <w:rFonts w:ascii="Calibri" w:hAnsi="Calibri"/>
                <w:b w:val="0"/>
                <w:sz w:val="19"/>
              </w:rPr>
              <w:t>Hiérarchie de catégories de transactions, avec catégories globales et personnalisées.</w:t>
            </w:r>
          </w:p>
        </w:tc>
      </w:tr>
      <w:tr>
        <w:tc>
          <w:tcPr>
            <w:tcW w:type="dxa" w:w="1928"/>
            <w:tcMar>
              <w:top w:w="60" w:type="dxa"/>
              <w:bottom w:w="60" w:type="dxa"/>
              <w:start w:w="100" w:type="dxa"/>
              <w:end w:w="100" w:type="dxa"/>
            </w:tcMar>
          </w:tcPr>
          <w:p>
            <w:r/>
            <w:r>
              <w:rPr>
                <w:rFonts w:ascii="Calibri" w:hAnsi="Calibri"/>
                <w:b w:val="0"/>
                <w:sz w:val="19"/>
              </w:rPr>
              <w:t>Tag</w:t>
            </w:r>
          </w:p>
        </w:tc>
        <w:tc>
          <w:tcPr>
            <w:tcW w:type="dxa" w:w="907"/>
            <w:tcMar>
              <w:top w:w="60" w:type="dxa"/>
              <w:bottom w:w="60" w:type="dxa"/>
              <w:start w:w="100" w:type="dxa"/>
              <w:end w:w="100" w:type="dxa"/>
            </w:tcMar>
          </w:tcPr>
          <w:p>
            <w:r/>
            <w:r>
              <w:rPr>
                <w:rFonts w:ascii="Calibri" w:hAnsi="Calibri"/>
                <w:b w:val="0"/>
                <w:sz w:val="19"/>
              </w:rPr>
              <w:t>P3</w:t>
            </w:r>
          </w:p>
        </w:tc>
        <w:tc>
          <w:tcPr>
            <w:tcW w:type="dxa" w:w="5669"/>
            <w:tcMar>
              <w:top w:w="60" w:type="dxa"/>
              <w:bottom w:w="60" w:type="dxa"/>
              <w:start w:w="100" w:type="dxa"/>
              <w:end w:w="100" w:type="dxa"/>
            </w:tcMar>
          </w:tcPr>
          <w:p>
            <w:r/>
            <w:r>
              <w:rPr>
                <w:rFonts w:ascii="Calibri" w:hAnsi="Calibri"/>
                <w:b w:val="0"/>
                <w:sz w:val="19"/>
              </w:rPr>
              <w:t>Étiquette libre applicable à une transaction, transversale aux catégories.</w:t>
            </w:r>
          </w:p>
        </w:tc>
      </w:tr>
      <w:tr>
        <w:tc>
          <w:tcPr>
            <w:tcW w:type="dxa" w:w="1928"/>
            <w:tcMar>
              <w:top w:w="60" w:type="dxa"/>
              <w:bottom w:w="60" w:type="dxa"/>
              <w:start w:w="100" w:type="dxa"/>
              <w:end w:w="100" w:type="dxa"/>
            </w:tcMar>
            <w:shd w:val="clear" w:fill="F6F8F9"/>
          </w:tcPr>
          <w:p>
            <w:r/>
            <w:r>
              <w:rPr>
                <w:rFonts w:ascii="Calibri" w:hAnsi="Calibri"/>
                <w:b w:val="0"/>
                <w:sz w:val="19"/>
              </w:rPr>
              <w:t>Transaction</w:t>
            </w:r>
          </w:p>
        </w:tc>
        <w:tc>
          <w:tcPr>
            <w:tcW w:type="dxa" w:w="907"/>
            <w:tcMar>
              <w:top w:w="60" w:type="dxa"/>
              <w:bottom w:w="60" w:type="dxa"/>
              <w:start w:w="100" w:type="dxa"/>
              <w:end w:w="100" w:type="dxa"/>
            </w:tcMar>
            <w:shd w:val="clear" w:fill="F6F8F9"/>
          </w:tcPr>
          <w:p>
            <w:r/>
            <w:r>
              <w:rPr>
                <w:rFonts w:ascii="Calibri" w:hAnsi="Calibri"/>
                <w:b w:val="0"/>
                <w:sz w:val="19"/>
              </w:rPr>
              <w:t>P3</w:t>
            </w:r>
          </w:p>
        </w:tc>
        <w:tc>
          <w:tcPr>
            <w:tcW w:type="dxa" w:w="5669"/>
            <w:tcMar>
              <w:top w:w="60" w:type="dxa"/>
              <w:bottom w:w="60" w:type="dxa"/>
              <w:start w:w="100" w:type="dxa"/>
              <w:end w:w="100" w:type="dxa"/>
            </w:tcMar>
            <w:shd w:val="clear" w:fill="F6F8F9"/>
          </w:tcPr>
          <w:p>
            <w:r/>
            <w:r>
              <w:rPr>
                <w:rFonts w:ascii="Calibri" w:hAnsi="Calibri"/>
                <w:b w:val="0"/>
                <w:sz w:val="19"/>
              </w:rPr>
              <w:t>Mouvement financier : montant en centimes, date, libellé brut et nettoyé, compte, catégorie, étiquettes, split.</w:t>
            </w:r>
          </w:p>
        </w:tc>
      </w:tr>
      <w:tr>
        <w:tc>
          <w:tcPr>
            <w:tcW w:type="dxa" w:w="1928"/>
            <w:tcMar>
              <w:top w:w="60" w:type="dxa"/>
              <w:bottom w:w="60" w:type="dxa"/>
              <w:start w:w="100" w:type="dxa"/>
              <w:end w:w="100" w:type="dxa"/>
            </w:tcMar>
          </w:tcPr>
          <w:p>
            <w:r/>
            <w:r>
              <w:rPr>
                <w:rFonts w:ascii="Calibri" w:hAnsi="Calibri"/>
                <w:b w:val="0"/>
                <w:sz w:val="19"/>
              </w:rPr>
              <w:t>Split</w:t>
            </w:r>
          </w:p>
        </w:tc>
        <w:tc>
          <w:tcPr>
            <w:tcW w:type="dxa" w:w="907"/>
            <w:tcMar>
              <w:top w:w="60" w:type="dxa"/>
              <w:bottom w:w="60" w:type="dxa"/>
              <w:start w:w="100" w:type="dxa"/>
              <w:end w:w="100" w:type="dxa"/>
            </w:tcMar>
          </w:tcPr>
          <w:p>
            <w:r/>
            <w:r>
              <w:rPr>
                <w:rFonts w:ascii="Calibri" w:hAnsi="Calibri"/>
                <w:b w:val="0"/>
                <w:sz w:val="19"/>
              </w:rPr>
              <w:t>P3</w:t>
            </w:r>
          </w:p>
        </w:tc>
        <w:tc>
          <w:tcPr>
            <w:tcW w:type="dxa" w:w="5669"/>
            <w:tcMar>
              <w:top w:w="60" w:type="dxa"/>
              <w:bottom w:w="60" w:type="dxa"/>
              <w:start w:w="100" w:type="dxa"/>
              <w:end w:w="100" w:type="dxa"/>
            </w:tcMar>
          </w:tcPr>
          <w:p>
            <w:r/>
            <w:r>
              <w:rPr>
                <w:rFonts w:ascii="Calibri" w:hAnsi="Calibri"/>
                <w:b w:val="0"/>
                <w:sz w:val="19"/>
              </w:rPr>
              <w:t>Ligne de répartition d'une transaction entre plusieurs catégories ; la somme égale le montant total.</w:t>
            </w:r>
          </w:p>
        </w:tc>
      </w:tr>
      <w:tr>
        <w:tc>
          <w:tcPr>
            <w:tcW w:type="dxa" w:w="1928"/>
            <w:tcMar>
              <w:top w:w="60" w:type="dxa"/>
              <w:bottom w:w="60" w:type="dxa"/>
              <w:start w:w="100" w:type="dxa"/>
              <w:end w:w="100" w:type="dxa"/>
            </w:tcMar>
            <w:shd w:val="clear" w:fill="F6F8F9"/>
          </w:tcPr>
          <w:p>
            <w:r/>
            <w:r>
              <w:rPr>
                <w:rFonts w:ascii="Calibri" w:hAnsi="Calibri"/>
                <w:b w:val="0"/>
                <w:sz w:val="19"/>
              </w:rPr>
              <w:t>RecurringRule</w:t>
            </w:r>
          </w:p>
        </w:tc>
        <w:tc>
          <w:tcPr>
            <w:tcW w:type="dxa" w:w="907"/>
            <w:tcMar>
              <w:top w:w="60" w:type="dxa"/>
              <w:bottom w:w="60" w:type="dxa"/>
              <w:start w:w="100" w:type="dxa"/>
              <w:end w:w="100" w:type="dxa"/>
            </w:tcMar>
            <w:shd w:val="clear" w:fill="F6F8F9"/>
          </w:tcPr>
          <w:p>
            <w:r/>
            <w:r>
              <w:rPr>
                <w:rFonts w:ascii="Calibri" w:hAnsi="Calibri"/>
                <w:b w:val="0"/>
                <w:sz w:val="19"/>
              </w:rPr>
              <w:t>P3</w:t>
            </w:r>
          </w:p>
        </w:tc>
        <w:tc>
          <w:tcPr>
            <w:tcW w:type="dxa" w:w="5669"/>
            <w:tcMar>
              <w:top w:w="60" w:type="dxa"/>
              <w:bottom w:w="60" w:type="dxa"/>
              <w:start w:w="100" w:type="dxa"/>
              <w:end w:w="100" w:type="dxa"/>
            </w:tcMar>
            <w:shd w:val="clear" w:fill="F6F8F9"/>
          </w:tcPr>
          <w:p>
            <w:r/>
            <w:r>
              <w:rPr>
                <w:rFonts w:ascii="Calibri" w:hAnsi="Calibri"/>
                <w:b w:val="0"/>
                <w:sz w:val="19"/>
              </w:rPr>
              <w:t>Règle de récurrence (revenu, abonnement, crédit) projetée sur le calendrier financier.</w:t>
            </w:r>
          </w:p>
        </w:tc>
      </w:tr>
      <w:tr>
        <w:tc>
          <w:tcPr>
            <w:tcW w:type="dxa" w:w="1928"/>
            <w:tcMar>
              <w:top w:w="60" w:type="dxa"/>
              <w:bottom w:w="60" w:type="dxa"/>
              <w:start w:w="100" w:type="dxa"/>
              <w:end w:w="100" w:type="dxa"/>
            </w:tcMar>
          </w:tcPr>
          <w:p>
            <w:r/>
            <w:r>
              <w:rPr>
                <w:rFonts w:ascii="Calibri" w:hAnsi="Calibri"/>
                <w:b w:val="0"/>
                <w:sz w:val="19"/>
              </w:rPr>
              <w:t>Envelope</w:t>
            </w:r>
          </w:p>
        </w:tc>
        <w:tc>
          <w:tcPr>
            <w:tcW w:type="dxa" w:w="907"/>
            <w:tcMar>
              <w:top w:w="60" w:type="dxa"/>
              <w:bottom w:w="60" w:type="dxa"/>
              <w:start w:w="100" w:type="dxa"/>
              <w:end w:w="100" w:type="dxa"/>
            </w:tcMar>
          </w:tcPr>
          <w:p>
            <w:r/>
            <w:r>
              <w:rPr>
                <w:rFonts w:ascii="Calibri" w:hAnsi="Calibri"/>
                <w:b w:val="0"/>
                <w:sz w:val="19"/>
              </w:rPr>
              <w:t>P4</w:t>
            </w:r>
          </w:p>
        </w:tc>
        <w:tc>
          <w:tcPr>
            <w:tcW w:type="dxa" w:w="5669"/>
            <w:tcMar>
              <w:top w:w="60" w:type="dxa"/>
              <w:bottom w:w="60" w:type="dxa"/>
              <w:start w:w="100" w:type="dxa"/>
              <w:end w:w="100" w:type="dxa"/>
            </w:tcMar>
          </w:tcPr>
          <w:p>
            <w:r/>
            <w:r>
              <w:rPr>
                <w:rFonts w:ascii="Calibri" w:hAnsi="Calibri"/>
                <w:b w:val="0"/>
                <w:sz w:val="19"/>
              </w:rPr>
              <w:t>Enveloppe budgétaire : catégorie, montant alloué en centimes, période, consommé calculé.</w:t>
            </w:r>
          </w:p>
        </w:tc>
      </w:tr>
      <w:tr>
        <w:tc>
          <w:tcPr>
            <w:tcW w:type="dxa" w:w="1928"/>
            <w:tcMar>
              <w:top w:w="60" w:type="dxa"/>
              <w:bottom w:w="60" w:type="dxa"/>
              <w:start w:w="100" w:type="dxa"/>
              <w:end w:w="100" w:type="dxa"/>
            </w:tcMar>
            <w:shd w:val="clear" w:fill="F6F8F9"/>
          </w:tcPr>
          <w:p>
            <w:r/>
            <w:r>
              <w:rPr>
                <w:rFonts w:ascii="Calibri" w:hAnsi="Calibri"/>
                <w:b w:val="0"/>
                <w:sz w:val="19"/>
              </w:rPr>
              <w:t>Goal</w:t>
            </w:r>
          </w:p>
        </w:tc>
        <w:tc>
          <w:tcPr>
            <w:tcW w:type="dxa" w:w="907"/>
            <w:tcMar>
              <w:top w:w="60" w:type="dxa"/>
              <w:bottom w:w="60" w:type="dxa"/>
              <w:start w:w="100" w:type="dxa"/>
              <w:end w:w="100" w:type="dxa"/>
            </w:tcMar>
            <w:shd w:val="clear" w:fill="F6F8F9"/>
          </w:tcPr>
          <w:p>
            <w:r/>
            <w:r>
              <w:rPr>
                <w:rFonts w:ascii="Calibri" w:hAnsi="Calibri"/>
                <w:b w:val="0"/>
                <w:sz w:val="19"/>
              </w:rPr>
              <w:t>P4</w:t>
            </w:r>
          </w:p>
        </w:tc>
        <w:tc>
          <w:tcPr>
            <w:tcW w:type="dxa" w:w="5669"/>
            <w:tcMar>
              <w:top w:w="60" w:type="dxa"/>
              <w:bottom w:w="60" w:type="dxa"/>
              <w:start w:w="100" w:type="dxa"/>
              <w:end w:w="100" w:type="dxa"/>
            </w:tcMar>
            <w:shd w:val="clear" w:fill="F6F8F9"/>
          </w:tcPr>
          <w:p>
            <w:r/>
            <w:r>
              <w:rPr>
                <w:rFonts w:ascii="Calibri" w:hAnsi="Calibri"/>
                <w:b w:val="0"/>
                <w:sz w:val="19"/>
              </w:rPr>
              <w:t>Objectif de vie : montant cible, échéance souhaitée, priorité, avancement.</w:t>
            </w:r>
          </w:p>
        </w:tc>
      </w:tr>
      <w:tr>
        <w:tc>
          <w:tcPr>
            <w:tcW w:type="dxa" w:w="1928"/>
            <w:tcMar>
              <w:top w:w="60" w:type="dxa"/>
              <w:bottom w:w="60" w:type="dxa"/>
              <w:start w:w="100" w:type="dxa"/>
              <w:end w:w="100" w:type="dxa"/>
            </w:tcMar>
          </w:tcPr>
          <w:p>
            <w:r/>
            <w:r>
              <w:rPr>
                <w:rFonts w:ascii="Calibri" w:hAnsi="Calibri"/>
                <w:b w:val="0"/>
                <w:sz w:val="19"/>
              </w:rPr>
              <w:t>Scenario</w:t>
            </w:r>
          </w:p>
        </w:tc>
        <w:tc>
          <w:tcPr>
            <w:tcW w:type="dxa" w:w="907"/>
            <w:tcMar>
              <w:top w:w="60" w:type="dxa"/>
              <w:bottom w:w="60" w:type="dxa"/>
              <w:start w:w="100" w:type="dxa"/>
              <w:end w:w="100" w:type="dxa"/>
            </w:tcMar>
          </w:tcPr>
          <w:p>
            <w:r/>
            <w:r>
              <w:rPr>
                <w:rFonts w:ascii="Calibri" w:hAnsi="Calibri"/>
                <w:b w:val="0"/>
                <w:sz w:val="19"/>
              </w:rPr>
              <w:t>P5</w:t>
            </w:r>
          </w:p>
        </w:tc>
        <w:tc>
          <w:tcPr>
            <w:tcW w:type="dxa" w:w="5669"/>
            <w:tcMar>
              <w:top w:w="60" w:type="dxa"/>
              <w:bottom w:w="60" w:type="dxa"/>
              <w:start w:w="100" w:type="dxa"/>
              <w:end w:w="100" w:type="dxa"/>
            </w:tcMar>
          </w:tcPr>
          <w:p>
            <w:r/>
            <w:r>
              <w:rPr>
                <w:rFonts w:ascii="Calibri" w:hAnsi="Calibri"/>
                <w:b w:val="0"/>
                <w:sz w:val="19"/>
              </w:rPr>
              <w:t>Simulation ou décision : hypothèses, paramètres, impacts calculés (patrimoine, cash, date d'indépendance).</w:t>
            </w:r>
          </w:p>
        </w:tc>
      </w:tr>
      <w:tr>
        <w:tc>
          <w:tcPr>
            <w:tcW w:type="dxa" w:w="1928"/>
            <w:tcMar>
              <w:top w:w="60" w:type="dxa"/>
              <w:bottom w:w="60" w:type="dxa"/>
              <w:start w:w="100" w:type="dxa"/>
              <w:end w:w="100" w:type="dxa"/>
            </w:tcMar>
            <w:shd w:val="clear" w:fill="F6F8F9"/>
          </w:tcPr>
          <w:p>
            <w:r/>
            <w:r>
              <w:rPr>
                <w:rFonts w:ascii="Calibri" w:hAnsi="Calibri"/>
                <w:b w:val="0"/>
                <w:sz w:val="19"/>
              </w:rPr>
              <w:t>AIRequestLog</w:t>
            </w:r>
          </w:p>
        </w:tc>
        <w:tc>
          <w:tcPr>
            <w:tcW w:type="dxa" w:w="907"/>
            <w:tcMar>
              <w:top w:w="60" w:type="dxa"/>
              <w:bottom w:w="60" w:type="dxa"/>
              <w:start w:w="100" w:type="dxa"/>
              <w:end w:w="100" w:type="dxa"/>
            </w:tcMar>
            <w:shd w:val="clear" w:fill="F6F8F9"/>
          </w:tcPr>
          <w:p>
            <w:r/>
            <w:r>
              <w:rPr>
                <w:rFonts w:ascii="Calibri" w:hAnsi="Calibri"/>
                <w:b w:val="0"/>
                <w:sz w:val="19"/>
              </w:rPr>
              <w:t>P5</w:t>
            </w:r>
          </w:p>
        </w:tc>
        <w:tc>
          <w:tcPr>
            <w:tcW w:type="dxa" w:w="5669"/>
            <w:tcMar>
              <w:top w:w="60" w:type="dxa"/>
              <w:bottom w:w="60" w:type="dxa"/>
              <w:start w:w="100" w:type="dxa"/>
              <w:end w:w="100" w:type="dxa"/>
            </w:tcMar>
            <w:shd w:val="clear" w:fill="F6F8F9"/>
          </w:tcPr>
          <w:p>
            <w:r/>
            <w:r>
              <w:rPr>
                <w:rFonts w:ascii="Calibri" w:hAnsi="Calibri"/>
                <w:b w:val="0"/>
                <w:sz w:val="19"/>
              </w:rPr>
              <w:t>Trace d'une décision de routage IA : niveau choisi, motif, anonymisation appliquée.</w:t>
            </w:r>
          </w:p>
        </w:tc>
      </w:tr>
      <w:tr>
        <w:tc>
          <w:tcPr>
            <w:tcW w:type="dxa" w:w="1928"/>
            <w:tcMar>
              <w:top w:w="60" w:type="dxa"/>
              <w:bottom w:w="60" w:type="dxa"/>
              <w:start w:w="100" w:type="dxa"/>
              <w:end w:w="100" w:type="dxa"/>
            </w:tcMar>
          </w:tcPr>
          <w:p>
            <w:r/>
            <w:r>
              <w:rPr>
                <w:rFonts w:ascii="Calibri" w:hAnsi="Calibri"/>
                <w:b w:val="0"/>
                <w:sz w:val="19"/>
              </w:rPr>
              <w:t>Document</w:t>
            </w:r>
          </w:p>
        </w:tc>
        <w:tc>
          <w:tcPr>
            <w:tcW w:type="dxa" w:w="907"/>
            <w:tcMar>
              <w:top w:w="60" w:type="dxa"/>
              <w:bottom w:w="60" w:type="dxa"/>
              <w:start w:w="100" w:type="dxa"/>
              <w:end w:w="100" w:type="dxa"/>
            </w:tcMar>
          </w:tcPr>
          <w:p>
            <w:r/>
            <w:r>
              <w:rPr>
                <w:rFonts w:ascii="Calibri" w:hAnsi="Calibri"/>
                <w:b w:val="0"/>
                <w:sz w:val="19"/>
              </w:rPr>
              <w:t>P6</w:t>
            </w:r>
          </w:p>
        </w:tc>
        <w:tc>
          <w:tcPr>
            <w:tcW w:type="dxa" w:w="5669"/>
            <w:tcMar>
              <w:top w:w="60" w:type="dxa"/>
              <w:bottom w:w="60" w:type="dxa"/>
              <w:start w:w="100" w:type="dxa"/>
              <w:end w:w="100" w:type="dxa"/>
            </w:tcMar>
          </w:tcPr>
          <w:p>
            <w:r/>
            <w:r>
              <w:rPr>
                <w:rFonts w:ascii="Calibri" w:hAnsi="Calibri"/>
                <w:b w:val="0"/>
                <w:sz w:val="19"/>
              </w:rPr>
              <w:t>Pièce du coffre-fort : type, niveau de confidentialité (N3 par défaut), liens, stockage chiffré.</w:t>
            </w:r>
          </w:p>
        </w:tc>
      </w:tr>
      <w:tr>
        <w:tc>
          <w:tcPr>
            <w:tcW w:type="dxa" w:w="1928"/>
            <w:tcMar>
              <w:top w:w="60" w:type="dxa"/>
              <w:bottom w:w="60" w:type="dxa"/>
              <w:start w:w="100" w:type="dxa"/>
              <w:end w:w="100" w:type="dxa"/>
            </w:tcMar>
            <w:shd w:val="clear" w:fill="F6F8F9"/>
          </w:tcPr>
          <w:p>
            <w:r/>
            <w:r>
              <w:rPr>
                <w:rFonts w:ascii="Calibri" w:hAnsi="Calibri"/>
                <w:b w:val="0"/>
                <w:sz w:val="19"/>
              </w:rPr>
              <w:t>Beneficiary / Contact</w:t>
            </w:r>
          </w:p>
        </w:tc>
        <w:tc>
          <w:tcPr>
            <w:tcW w:type="dxa" w:w="907"/>
            <w:tcMar>
              <w:top w:w="60" w:type="dxa"/>
              <w:bottom w:w="60" w:type="dxa"/>
              <w:start w:w="100" w:type="dxa"/>
              <w:end w:w="100" w:type="dxa"/>
            </w:tcMar>
            <w:shd w:val="clear" w:fill="F6F8F9"/>
          </w:tcPr>
          <w:p>
            <w:r/>
            <w:r>
              <w:rPr>
                <w:rFonts w:ascii="Calibri" w:hAnsi="Calibri"/>
                <w:b w:val="0"/>
                <w:sz w:val="19"/>
              </w:rPr>
              <w:t>P6</w:t>
            </w:r>
          </w:p>
        </w:tc>
        <w:tc>
          <w:tcPr>
            <w:tcW w:type="dxa" w:w="5669"/>
            <w:tcMar>
              <w:top w:w="60" w:type="dxa"/>
              <w:bottom w:w="60" w:type="dxa"/>
              <w:start w:w="100" w:type="dxa"/>
              <w:end w:w="100" w:type="dxa"/>
            </w:tcMar>
            <w:shd w:val="clear" w:fill="F6F8F9"/>
          </w:tcPr>
          <w:p>
            <w:r/>
            <w:r>
              <w:rPr>
                <w:rFonts w:ascii="Calibri" w:hAnsi="Calibri"/>
                <w:b w:val="0"/>
                <w:sz w:val="19"/>
              </w:rPr>
              <w:t>Bénéficiaires et contacts du plan de transmission (notaire, banque, assurance).</w:t>
            </w:r>
          </w:p>
        </w:tc>
      </w:tr>
    </w:tbl>
    <w:p>
      <w:pPr>
        <w:spacing w:after="120"/>
      </w:pPr>
    </w:p>
    <w:tbl>
      <w:tblPr>
        <w:tblStyle w:val="TableGrid"/>
        <w:tblW w:type="auto" w:w="0"/>
        <w:tblLook w:firstColumn="1" w:firstRow="1" w:lastColumn="0" w:lastRow="0" w:noHBand="0" w:noVBand="1" w:val="04A0"/>
      </w:tblPr>
      <w:tblGrid>
        <w:gridCol w:w="9746"/>
      </w:tblGrid>
      <w:tr>
        <w:tc>
          <w:tcPr>
            <w:tcW w:type="dxa" w:w="9746"/>
            <w:shd w:val="clear" w:fill="E6F4EA"/>
            <w:tcMar>
              <w:top w:w="120" w:type="dxa"/>
              <w:bottom w:w="120" w:type="dxa"/>
              <w:start w:w="160" w:type="dxa"/>
              <w:end w:w="160" w:type="dxa"/>
            </w:tcMar>
          </w:tcPr>
          <w:p>
            <w:pPr>
              <w:spacing w:after="40"/>
            </w:pPr>
            <w:r/>
            <w:r>
              <w:rPr>
                <w:b/>
                <w:color w:val="1F2A37"/>
                <w:sz w:val="21"/>
              </w:rPr>
              <w:t>Règle d'or (ENF-007)</w:t>
            </w:r>
          </w:p>
          <w:p>
            <w:r>
              <w:rPr>
                <w:sz w:val="20"/>
              </w:rPr>
              <w:t>Tout montant est un entier en centimes (ou DECIMAL). Aucune valeur financière n'est jamais stockée ni calculée en nombre à virgule flottante.</w:t>
            </w:r>
          </w:p>
        </w:tc>
      </w:tr>
    </w:tbl>
    <w:p>
      <w:pPr>
        <w:spacing w:after="120"/>
      </w:pPr>
    </w:p>
    <w:p>
      <w:pPr>
        <w:pStyle w:val="Heading1"/>
      </w:pPr>
      <w:r>
        <w:t>12. Design et expérience utilisateur</w:t>
      </w:r>
    </w:p>
    <w:p>
      <w:pPr>
        <w:spacing w:after="120"/>
      </w:pPr>
      <w:r>
        <w:rPr>
          <w:i w:val="0"/>
        </w:rPr>
        <w:t>Le système de design d'Opale s'inspire de deux références : Revolut pour la modernité, la fluidité et le caractère satisfaisant des interactions, et le Liquid Glass d'iOS 26 pour le matériau translucide, la profondeur et les jeux de lumière. Le nom « Opale » guide l'identité visuelle : reflets nacrés, dégradés irisés, sensation de profondeur et de valeur.</w:t>
      </w:r>
    </w:p>
    <w:p>
      <w:pPr>
        <w:spacing w:after="120"/>
      </w:pPr>
      <w:r>
        <w:rPr>
          <w:i w:val="0"/>
        </w:rPr>
        <w:t>L'objectif expérientiel est clair : ouvrir Opale doit procurer une micro-récompense, de façon à créer une habitude positive. Chaque interaction clé est soignée, accompagnée d'une rétroaction haptique et d'une physique naturelle. Le mode sombre est traité comme une ambiance premium à part entière.</w:t>
      </w:r>
    </w:p>
    <w:p>
      <w:pPr>
        <w:pStyle w:val="Heading2"/>
      </w:pPr>
      <w:r>
        <w:t>12.1 Mécaniques d'expérience</w:t>
      </w:r>
    </w:p>
    <w:tbl>
      <w:tblPr>
        <w:tblStyle w:val="TableGrid"/>
        <w:tblW w:type="auto" w:w="0"/>
        <w:jc w:val="center"/>
        <w:tblLook w:firstColumn="1" w:firstRow="1" w:lastColumn="0" w:lastRow="0" w:noHBand="0" w:noVBand="1" w:val="04A0"/>
      </w:tblPr>
      <w:tblGrid>
        <w:gridCol w:w="4873"/>
        <w:gridCol w:w="4873"/>
      </w:tblGrid>
      <w:tr>
        <w:tc>
          <w:tcPr>
            <w:tcW w:type="dxa" w:w="2551"/>
            <w:shd w:val="clear" w:fill="1F6F78"/>
            <w:tcMar>
              <w:top w:w="60" w:type="dxa"/>
              <w:bottom w:w="60" w:type="dxa"/>
              <w:start w:w="100" w:type="dxa"/>
              <w:end w:w="100" w:type="dxa"/>
            </w:tcMar>
          </w:tcPr>
          <w:p>
            <w:r/>
            <w:r>
              <w:rPr>
                <w:rFonts w:ascii="Calibri" w:hAnsi="Calibri"/>
                <w:b/>
                <w:color w:val="FFFFFF"/>
                <w:sz w:val="19"/>
              </w:rPr>
              <w:t>Mécanique</w:t>
            </w:r>
          </w:p>
        </w:tc>
        <w:tc>
          <w:tcPr>
            <w:tcW w:type="dxa" w:w="5953"/>
            <w:shd w:val="clear" w:fill="1F6F78"/>
            <w:tcMar>
              <w:top w:w="60" w:type="dxa"/>
              <w:bottom w:w="60" w:type="dxa"/>
              <w:start w:w="100" w:type="dxa"/>
              <w:end w:w="100" w:type="dxa"/>
            </w:tcMar>
          </w:tcPr>
          <w:p>
            <w:r/>
            <w:r>
              <w:rPr>
                <w:rFonts w:ascii="Calibri" w:hAnsi="Calibri"/>
                <w:b/>
                <w:color w:val="FFFFFF"/>
                <w:sz w:val="19"/>
              </w:rPr>
              <w:t>Effet</w:t>
            </w:r>
          </w:p>
        </w:tc>
      </w:tr>
      <w:tr>
        <w:tc>
          <w:tcPr>
            <w:tcW w:type="dxa" w:w="2551"/>
            <w:tcMar>
              <w:top w:w="60" w:type="dxa"/>
              <w:bottom w:w="60" w:type="dxa"/>
              <w:start w:w="100" w:type="dxa"/>
              <w:end w:w="100" w:type="dxa"/>
            </w:tcMar>
          </w:tcPr>
          <w:p>
            <w:r/>
            <w:r>
              <w:rPr>
                <w:rFonts w:ascii="Calibri" w:hAnsi="Calibri"/>
                <w:b w:val="0"/>
                <w:sz w:val="19"/>
              </w:rPr>
              <w:t>Compteurs animés</w:t>
            </w:r>
          </w:p>
        </w:tc>
        <w:tc>
          <w:tcPr>
            <w:tcW w:type="dxa" w:w="5953"/>
            <w:tcMar>
              <w:top w:w="60" w:type="dxa"/>
              <w:bottom w:w="60" w:type="dxa"/>
              <w:start w:w="100" w:type="dxa"/>
              <w:end w:w="100" w:type="dxa"/>
            </w:tcMar>
          </w:tcPr>
          <w:p>
            <w:r/>
            <w:r>
              <w:rPr>
                <w:rFonts w:ascii="Calibri" w:hAnsi="Calibri"/>
                <w:b w:val="0"/>
                <w:sz w:val="19"/>
              </w:rPr>
              <w:t>Le patrimoine net défile en montant à l'ouverture.</w:t>
            </w:r>
          </w:p>
        </w:tc>
      </w:tr>
      <w:tr>
        <w:tc>
          <w:tcPr>
            <w:tcW w:type="dxa" w:w="2551"/>
            <w:tcMar>
              <w:top w:w="60" w:type="dxa"/>
              <w:bottom w:w="60" w:type="dxa"/>
              <w:start w:w="100" w:type="dxa"/>
              <w:end w:w="100" w:type="dxa"/>
            </w:tcMar>
            <w:shd w:val="clear" w:fill="F6F8F9"/>
          </w:tcPr>
          <w:p>
            <w:r/>
            <w:r>
              <w:rPr>
                <w:rFonts w:ascii="Calibri" w:hAnsi="Calibri"/>
                <w:b w:val="0"/>
                <w:sz w:val="19"/>
              </w:rPr>
              <w:t>Haptique (Taptic Engine)</w:t>
            </w:r>
          </w:p>
        </w:tc>
        <w:tc>
          <w:tcPr>
            <w:tcW w:type="dxa" w:w="5953"/>
            <w:tcMar>
              <w:top w:w="60" w:type="dxa"/>
              <w:bottom w:w="60" w:type="dxa"/>
              <w:start w:w="100" w:type="dxa"/>
              <w:end w:w="100" w:type="dxa"/>
            </w:tcMar>
            <w:shd w:val="clear" w:fill="F6F8F9"/>
          </w:tcPr>
          <w:p>
            <w:r/>
            <w:r>
              <w:rPr>
                <w:rFonts w:ascii="Calibri" w:hAnsi="Calibri"/>
                <w:b w:val="0"/>
                <w:sz w:val="19"/>
              </w:rPr>
              <w:t>Vibration subtile à chaque action clé.</w:t>
            </w:r>
          </w:p>
        </w:tc>
      </w:tr>
      <w:tr>
        <w:tc>
          <w:tcPr>
            <w:tcW w:type="dxa" w:w="2551"/>
            <w:tcMar>
              <w:top w:w="60" w:type="dxa"/>
              <w:bottom w:w="60" w:type="dxa"/>
              <w:start w:w="100" w:type="dxa"/>
              <w:end w:w="100" w:type="dxa"/>
            </w:tcMar>
          </w:tcPr>
          <w:p>
            <w:r/>
            <w:r>
              <w:rPr>
                <w:rFonts w:ascii="Calibri" w:hAnsi="Calibri"/>
                <w:b w:val="0"/>
                <w:sz w:val="19"/>
              </w:rPr>
              <w:t>Liquid Glass en couches</w:t>
            </w:r>
          </w:p>
        </w:tc>
        <w:tc>
          <w:tcPr>
            <w:tcW w:type="dxa" w:w="5953"/>
            <w:tcMar>
              <w:top w:w="60" w:type="dxa"/>
              <w:bottom w:w="60" w:type="dxa"/>
              <w:start w:w="100" w:type="dxa"/>
              <w:end w:w="100" w:type="dxa"/>
            </w:tcMar>
          </w:tcPr>
          <w:p>
            <w:r/>
            <w:r>
              <w:rPr>
                <w:rFonts w:ascii="Calibri" w:hAnsi="Calibri"/>
                <w:b w:val="0"/>
                <w:sz w:val="19"/>
              </w:rPr>
              <w:t>Cartes translucides, profondeur, flou dynamique, reflets.</w:t>
            </w:r>
          </w:p>
        </w:tc>
      </w:tr>
      <w:tr>
        <w:tc>
          <w:tcPr>
            <w:tcW w:type="dxa" w:w="2551"/>
            <w:tcMar>
              <w:top w:w="60" w:type="dxa"/>
              <w:bottom w:w="60" w:type="dxa"/>
              <w:start w:w="100" w:type="dxa"/>
              <w:end w:w="100" w:type="dxa"/>
            </w:tcMar>
            <w:shd w:val="clear" w:fill="F6F8F9"/>
          </w:tcPr>
          <w:p>
            <w:r/>
            <w:r>
              <w:rPr>
                <w:rFonts w:ascii="Calibri" w:hAnsi="Calibri"/>
                <w:b w:val="0"/>
                <w:sz w:val="19"/>
              </w:rPr>
              <w:t>Spring physics</w:t>
            </w:r>
          </w:p>
        </w:tc>
        <w:tc>
          <w:tcPr>
            <w:tcW w:type="dxa" w:w="5953"/>
            <w:tcMar>
              <w:top w:w="60" w:type="dxa"/>
              <w:bottom w:w="60" w:type="dxa"/>
              <w:start w:w="100" w:type="dxa"/>
              <w:end w:w="100" w:type="dxa"/>
            </w:tcMar>
            <w:shd w:val="clear" w:fill="F6F8F9"/>
          </w:tcPr>
          <w:p>
            <w:r/>
            <w:r>
              <w:rPr>
                <w:rFonts w:ascii="Calibri" w:hAnsi="Calibri"/>
                <w:b w:val="0"/>
                <w:sz w:val="19"/>
              </w:rPr>
              <w:t>Tout glisse et rebondit de façon naturelle.</w:t>
            </w:r>
          </w:p>
        </w:tc>
      </w:tr>
      <w:tr>
        <w:tc>
          <w:tcPr>
            <w:tcW w:type="dxa" w:w="2551"/>
            <w:tcMar>
              <w:top w:w="60" w:type="dxa"/>
              <w:bottom w:w="60" w:type="dxa"/>
              <w:start w:w="100" w:type="dxa"/>
              <w:end w:w="100" w:type="dxa"/>
            </w:tcMar>
          </w:tcPr>
          <w:p>
            <w:r/>
            <w:r>
              <w:rPr>
                <w:rFonts w:ascii="Calibri" w:hAnsi="Calibri"/>
                <w:b w:val="0"/>
                <w:sz w:val="19"/>
              </w:rPr>
              <w:t>Célébrations</w:t>
            </w:r>
          </w:p>
        </w:tc>
        <w:tc>
          <w:tcPr>
            <w:tcW w:type="dxa" w:w="5953"/>
            <w:tcMar>
              <w:top w:w="60" w:type="dxa"/>
              <w:bottom w:w="60" w:type="dxa"/>
              <w:start w:w="100" w:type="dxa"/>
              <w:end w:w="100" w:type="dxa"/>
            </w:tcMar>
          </w:tcPr>
          <w:p>
            <w:r/>
            <w:r>
              <w:rPr>
                <w:rFonts w:ascii="Calibri" w:hAnsi="Calibri"/>
                <w:b w:val="0"/>
                <w:sz w:val="19"/>
              </w:rPr>
              <w:t>Confettis et particules à l'atteinte d'un objectif ou d'un jalon.</w:t>
            </w:r>
          </w:p>
        </w:tc>
      </w:tr>
      <w:tr>
        <w:tc>
          <w:tcPr>
            <w:tcW w:type="dxa" w:w="2551"/>
            <w:tcMar>
              <w:top w:w="60" w:type="dxa"/>
              <w:bottom w:w="60" w:type="dxa"/>
              <w:start w:w="100" w:type="dxa"/>
              <w:end w:w="100" w:type="dxa"/>
            </w:tcMar>
            <w:shd w:val="clear" w:fill="F6F8F9"/>
          </w:tcPr>
          <w:p>
            <w:r/>
            <w:r>
              <w:rPr>
                <w:rFonts w:ascii="Calibri" w:hAnsi="Calibri"/>
                <w:b w:val="0"/>
                <w:sz w:val="19"/>
              </w:rPr>
              <w:t>Graphes scrubables</w:t>
            </w:r>
          </w:p>
        </w:tc>
        <w:tc>
          <w:tcPr>
            <w:tcW w:type="dxa" w:w="5953"/>
            <w:tcMar>
              <w:top w:w="60" w:type="dxa"/>
              <w:bottom w:w="60" w:type="dxa"/>
              <w:start w:w="100" w:type="dxa"/>
              <w:end w:w="100" w:type="dxa"/>
            </w:tcMar>
            <w:shd w:val="clear" w:fill="F6F8F9"/>
          </w:tcPr>
          <w:p>
            <w:r/>
            <w:r>
              <w:rPr>
                <w:rFonts w:ascii="Calibri" w:hAnsi="Calibri"/>
                <w:b w:val="0"/>
                <w:sz w:val="19"/>
              </w:rPr>
              <w:t>Glisser le doigt sur la courbe ; les chiffres suivent.</w:t>
            </w:r>
          </w:p>
        </w:tc>
      </w:tr>
      <w:tr>
        <w:tc>
          <w:tcPr>
            <w:tcW w:type="dxa" w:w="2551"/>
            <w:tcMar>
              <w:top w:w="60" w:type="dxa"/>
              <w:bottom w:w="60" w:type="dxa"/>
              <w:start w:w="100" w:type="dxa"/>
              <w:end w:w="100" w:type="dxa"/>
            </w:tcMar>
          </w:tcPr>
          <w:p>
            <w:r/>
            <w:r>
              <w:rPr>
                <w:rFonts w:ascii="Calibri" w:hAnsi="Calibri"/>
                <w:b w:val="0"/>
                <w:sz w:val="19"/>
              </w:rPr>
              <w:t>Cartes draggables</w:t>
            </w:r>
          </w:p>
        </w:tc>
        <w:tc>
          <w:tcPr>
            <w:tcW w:type="dxa" w:w="5953"/>
            <w:tcMar>
              <w:top w:w="60" w:type="dxa"/>
              <w:bottom w:w="60" w:type="dxa"/>
              <w:start w:w="100" w:type="dxa"/>
              <w:end w:w="100" w:type="dxa"/>
            </w:tcMar>
          </w:tcPr>
          <w:p>
            <w:r/>
            <w:r>
              <w:rPr>
                <w:rFonts w:ascii="Calibri" w:hAnsi="Calibri"/>
                <w:b w:val="0"/>
                <w:sz w:val="19"/>
              </w:rPr>
              <w:t>Glisser pour fermer, parallaxe, empilement à la manière de Wallet.</w:t>
            </w:r>
          </w:p>
        </w:tc>
      </w:tr>
      <w:tr>
        <w:tc>
          <w:tcPr>
            <w:tcW w:type="dxa" w:w="2551"/>
            <w:tcMar>
              <w:top w:w="60" w:type="dxa"/>
              <w:bottom w:w="60" w:type="dxa"/>
              <w:start w:w="100" w:type="dxa"/>
              <w:end w:w="100" w:type="dxa"/>
            </w:tcMar>
            <w:shd w:val="clear" w:fill="F6F8F9"/>
          </w:tcPr>
          <w:p>
            <w:r/>
            <w:r>
              <w:rPr>
                <w:rFonts w:ascii="Calibri" w:hAnsi="Calibri"/>
                <w:b w:val="0"/>
                <w:sz w:val="19"/>
              </w:rPr>
              <w:t>Système de thèmes</w:t>
            </w:r>
          </w:p>
        </w:tc>
        <w:tc>
          <w:tcPr>
            <w:tcW w:type="dxa" w:w="5953"/>
            <w:tcMar>
              <w:top w:w="60" w:type="dxa"/>
              <w:bottom w:w="60" w:type="dxa"/>
              <w:start w:w="100" w:type="dxa"/>
              <w:end w:w="100" w:type="dxa"/>
            </w:tcMar>
            <w:shd w:val="clear" w:fill="F6F8F9"/>
          </w:tcPr>
          <w:p>
            <w:r/>
            <w:r>
              <w:rPr>
                <w:rFonts w:ascii="Calibri" w:hAnsi="Calibri"/>
                <w:b w:val="0"/>
                <w:sz w:val="19"/>
              </w:rPr>
              <w:t>Couleurs d'accent multiples, clair/sombre/auto, ambiances.</w:t>
            </w:r>
          </w:p>
        </w:tc>
      </w:tr>
      <w:tr>
        <w:tc>
          <w:tcPr>
            <w:tcW w:type="dxa" w:w="2551"/>
            <w:tcMar>
              <w:top w:w="60" w:type="dxa"/>
              <w:bottom w:w="60" w:type="dxa"/>
              <w:start w:w="100" w:type="dxa"/>
              <w:end w:w="100" w:type="dxa"/>
            </w:tcMar>
          </w:tcPr>
          <w:p>
            <w:r/>
            <w:r>
              <w:rPr>
                <w:rFonts w:ascii="Calibri" w:hAnsi="Calibri"/>
                <w:b w:val="0"/>
                <w:sz w:val="19"/>
              </w:rPr>
              <w:t>Sound design (option)</w:t>
            </w:r>
          </w:p>
        </w:tc>
        <w:tc>
          <w:tcPr>
            <w:tcW w:type="dxa" w:w="5953"/>
            <w:tcMar>
              <w:top w:w="60" w:type="dxa"/>
              <w:bottom w:w="60" w:type="dxa"/>
              <w:start w:w="100" w:type="dxa"/>
              <w:end w:w="100" w:type="dxa"/>
            </w:tcMar>
          </w:tcPr>
          <w:p>
            <w:r/>
            <w:r>
              <w:rPr>
                <w:rFonts w:ascii="Calibri" w:hAnsi="Calibri"/>
                <w:b w:val="0"/>
                <w:sz w:val="19"/>
              </w:rPr>
              <w:t>Petits sons discrets et satisfaisants, activables.</w:t>
            </w:r>
          </w:p>
        </w:tc>
      </w:tr>
    </w:tbl>
    <w:p>
      <w:pPr>
        <w:spacing w:after="120"/>
      </w:pPr>
    </w:p>
    <w:p>
      <w:pPr>
        <w:pStyle w:val="Heading2"/>
      </w:pPr>
      <w:r>
        <w:t>12.2 Identité visuelle</w:t>
      </w:r>
    </w:p>
    <w:p>
      <w:pPr>
        <w:spacing w:after="120"/>
      </w:pPr>
      <w:r>
        <w:rPr>
          <w:i w:val="0"/>
        </w:rPr>
        <w:t>La palette s'inspire de l'opale : reflets nacrés, dégradés irisés, profondeur. La typographie est soignée, le solde affiché en grand, le mode sombre traité comme une ambiance premium. L'identité visuelle précise (palette exacte, typographie) reste à finaliser.</w:t>
      </w:r>
    </w:p>
    <w:p>
      <w:pPr>
        <w:pStyle w:val="Heading1"/>
      </w:pPr>
      <w:r>
        <w:t>13. Sécurité et confidentialité</w:t>
      </w:r>
    </w:p>
    <w:p>
      <w:pPr>
        <w:spacing w:after="120"/>
      </w:pPr>
      <w:r>
        <w:rPr>
          <w:i w:val="0"/>
        </w:rPr>
        <w:t>La confidentialité est l'axe de marque d'Opale : « votre patrimoine ne devrait pas devenir le modèle économique de quelqu'un d'autre ». Cela se traduit par des choix techniques concrets et vérifiables, pas par de simples déclarations.</w:t>
      </w:r>
    </w:p>
    <w:p>
      <w:pPr>
        <w:spacing w:after="120"/>
      </w:pPr>
      <w:r>
        <w:rPr>
          <w:i w:val="0"/>
        </w:rPr>
        <w:t>Les données sont chiffrées au repos et en transit (TLS). L'accès est protégé par profil (Face ID ou code) avec verrouillage automatique et journal d'accès. Le mode discret protège l'affichage en présence de tiers. L'export complet garantit la réversibilité. Aucune donnée n'est revendue et aucun traceur tiers n'est intégré.</w:t>
      </w:r>
    </w:p>
    <w:p>
      <w:pPr>
        <w:spacing w:after="120"/>
      </w:pPr>
      <w:r>
        <w:rPr>
          <w:i w:val="0"/>
        </w:rPr>
        <w:t>La classification N1/N2/N3 et le moteur d'anonymisation encadrent strictement ce qui peut éventuellement transiter vers un modèle cloud, toujours après anonymisation et consentement explicite pour les données sensibles. Les secrets (jetons, identifiants) sont conservés hors du code, en variables d'environnement ou coffre.</w:t>
      </w:r>
    </w:p>
    <w:p>
      <w:pPr>
        <w:pStyle w:val="Heading1"/>
      </w:pPr>
      <w:r>
        <w:t>14. Contraintes</w:t>
      </w:r>
    </w:p>
    <w:tbl>
      <w:tblPr>
        <w:tblStyle w:val="TableGrid"/>
        <w:tblW w:type="auto" w:w="0"/>
        <w:jc w:val="center"/>
        <w:tblLook w:firstColumn="1" w:firstRow="1" w:lastColumn="0" w:lastRow="0" w:noHBand="0" w:noVBand="1" w:val="04A0"/>
      </w:tblPr>
      <w:tblGrid>
        <w:gridCol w:w="4873"/>
        <w:gridCol w:w="4873"/>
      </w:tblGrid>
      <w:tr>
        <w:tc>
          <w:tcPr>
            <w:tcW w:type="dxa" w:w="1928"/>
            <w:shd w:val="clear" w:fill="1F6F78"/>
            <w:tcMar>
              <w:top w:w="60" w:type="dxa"/>
              <w:bottom w:w="60" w:type="dxa"/>
              <w:start w:w="100" w:type="dxa"/>
              <w:end w:w="100" w:type="dxa"/>
            </w:tcMar>
          </w:tcPr>
          <w:p>
            <w:r/>
            <w:r>
              <w:rPr>
                <w:rFonts w:ascii="Calibri" w:hAnsi="Calibri"/>
                <w:b/>
                <w:color w:val="FFFFFF"/>
                <w:sz w:val="19"/>
              </w:rPr>
              <w:t>Nature</w:t>
            </w:r>
          </w:p>
        </w:tc>
        <w:tc>
          <w:tcPr>
            <w:tcW w:type="dxa" w:w="6576"/>
            <w:shd w:val="clear" w:fill="1F6F78"/>
            <w:tcMar>
              <w:top w:w="60" w:type="dxa"/>
              <w:bottom w:w="60" w:type="dxa"/>
              <w:start w:w="100" w:type="dxa"/>
              <w:end w:w="100" w:type="dxa"/>
            </w:tcMar>
          </w:tcPr>
          <w:p>
            <w:r/>
            <w:r>
              <w:rPr>
                <w:rFonts w:ascii="Calibri" w:hAnsi="Calibri"/>
                <w:b/>
                <w:color w:val="FFFFFF"/>
                <w:sz w:val="19"/>
              </w:rPr>
              <w:t>Contrainte</w:t>
            </w:r>
          </w:p>
        </w:tc>
      </w:tr>
      <w:tr>
        <w:tc>
          <w:tcPr>
            <w:tcW w:type="dxa" w:w="1928"/>
            <w:tcMar>
              <w:top w:w="60" w:type="dxa"/>
              <w:bottom w:w="60" w:type="dxa"/>
              <w:start w:w="100" w:type="dxa"/>
              <w:end w:w="100" w:type="dxa"/>
            </w:tcMar>
          </w:tcPr>
          <w:p>
            <w:r/>
            <w:r>
              <w:rPr>
                <w:rFonts w:ascii="Calibri" w:hAnsi="Calibri"/>
                <w:b w:val="0"/>
                <w:sz w:val="19"/>
              </w:rPr>
              <w:t>Financière</w:t>
            </w:r>
          </w:p>
        </w:tc>
        <w:tc>
          <w:tcPr>
            <w:tcW w:type="dxa" w:w="6576"/>
            <w:tcMar>
              <w:top w:w="60" w:type="dxa"/>
              <w:bottom w:w="60" w:type="dxa"/>
              <w:start w:w="100" w:type="dxa"/>
              <w:end w:w="100" w:type="dxa"/>
            </w:tcMar>
          </w:tcPr>
          <w:p>
            <w:r/>
            <w:r>
              <w:rPr>
                <w:rFonts w:ascii="Calibri" w:hAnsi="Calibri"/>
                <w:b w:val="0"/>
                <w:sz w:val="19"/>
              </w:rPr>
              <w:t>Tous les montants sont en centimes entiers ou en DECIMAL ; jamais de nombre à virgule flottante (règle absolue).</w:t>
            </w:r>
          </w:p>
        </w:tc>
      </w:tr>
      <w:tr>
        <w:tc>
          <w:tcPr>
            <w:tcW w:type="dxa" w:w="1928"/>
            <w:tcMar>
              <w:top w:w="60" w:type="dxa"/>
              <w:bottom w:w="60" w:type="dxa"/>
              <w:start w:w="100" w:type="dxa"/>
              <w:end w:w="100" w:type="dxa"/>
            </w:tcMar>
            <w:shd w:val="clear" w:fill="F6F8F9"/>
          </w:tcPr>
          <w:p>
            <w:r/>
            <w:r>
              <w:rPr>
                <w:rFonts w:ascii="Calibri" w:hAnsi="Calibri"/>
                <w:b w:val="0"/>
                <w:sz w:val="19"/>
              </w:rPr>
              <w:t>Confidentialité</w:t>
            </w:r>
          </w:p>
        </w:tc>
        <w:tc>
          <w:tcPr>
            <w:tcW w:type="dxa" w:w="6576"/>
            <w:tcMar>
              <w:top w:w="60" w:type="dxa"/>
              <w:bottom w:w="60" w:type="dxa"/>
              <w:start w:w="100" w:type="dxa"/>
              <w:end w:w="100" w:type="dxa"/>
            </w:tcMar>
            <w:shd w:val="clear" w:fill="F6F8F9"/>
          </w:tcPr>
          <w:p>
            <w:r/>
            <w:r>
              <w:rPr>
                <w:rFonts w:ascii="Calibri" w:hAnsi="Calibri"/>
                <w:b w:val="0"/>
                <w:sz w:val="19"/>
              </w:rPr>
              <w:t>Les niveaux N1/N2/N3 sont strictement respectés à toutes les étapes.</w:t>
            </w:r>
          </w:p>
        </w:tc>
      </w:tr>
      <w:tr>
        <w:tc>
          <w:tcPr>
            <w:tcW w:type="dxa" w:w="1928"/>
            <w:tcMar>
              <w:top w:w="60" w:type="dxa"/>
              <w:bottom w:w="60" w:type="dxa"/>
              <w:start w:w="100" w:type="dxa"/>
              <w:end w:w="100" w:type="dxa"/>
            </w:tcMar>
          </w:tcPr>
          <w:p>
            <w:r/>
            <w:r>
              <w:rPr>
                <w:rFonts w:ascii="Calibri" w:hAnsi="Calibri"/>
                <w:b w:val="0"/>
                <w:sz w:val="19"/>
              </w:rPr>
              <w:t>Légale</w:t>
            </w:r>
          </w:p>
        </w:tc>
        <w:tc>
          <w:tcPr>
            <w:tcW w:type="dxa" w:w="6576"/>
            <w:tcMar>
              <w:top w:w="60" w:type="dxa"/>
              <w:bottom w:w="60" w:type="dxa"/>
              <w:start w:w="100" w:type="dxa"/>
              <w:end w:w="100" w:type="dxa"/>
            </w:tcMar>
          </w:tcPr>
          <w:p>
            <w:r/>
            <w:r>
              <w:rPr>
                <w:rFonts w:ascii="Calibri" w:hAnsi="Calibri"/>
                <w:b w:val="0"/>
                <w:sz w:val="19"/>
              </w:rPr>
              <w:t>Usage familial privé ; l'app informe mais ne fournit pas de conseil financier réglementé.</w:t>
            </w:r>
          </w:p>
        </w:tc>
      </w:tr>
      <w:tr>
        <w:tc>
          <w:tcPr>
            <w:tcW w:type="dxa" w:w="1928"/>
            <w:tcMar>
              <w:top w:w="60" w:type="dxa"/>
              <w:bottom w:w="60" w:type="dxa"/>
              <w:start w:w="100" w:type="dxa"/>
              <w:end w:w="100" w:type="dxa"/>
            </w:tcMar>
            <w:shd w:val="clear" w:fill="F6F8F9"/>
          </w:tcPr>
          <w:p>
            <w:r/>
            <w:r>
              <w:rPr>
                <w:rFonts w:ascii="Calibri" w:hAnsi="Calibri"/>
                <w:b w:val="0"/>
                <w:sz w:val="19"/>
              </w:rPr>
              <w:t>Technique</w:t>
            </w:r>
          </w:p>
        </w:tc>
        <w:tc>
          <w:tcPr>
            <w:tcW w:type="dxa" w:w="6576"/>
            <w:tcMar>
              <w:top w:w="60" w:type="dxa"/>
              <w:bottom w:w="60" w:type="dxa"/>
              <w:start w:w="100" w:type="dxa"/>
              <w:end w:w="100" w:type="dxa"/>
            </w:tcMar>
            <w:shd w:val="clear" w:fill="F6F8F9"/>
          </w:tcPr>
          <w:p>
            <w:r/>
            <w:r>
              <w:rPr>
                <w:rFonts w:ascii="Calibri" w:hAnsi="Calibri"/>
                <w:b w:val="0"/>
                <w:sz w:val="19"/>
              </w:rPr>
              <w:t>Auto-hébergement sur homelab ; les fonctions de niveau 2 dépendent de la disponibilité du homelab.</w:t>
            </w:r>
          </w:p>
        </w:tc>
      </w:tr>
      <w:tr>
        <w:tc>
          <w:tcPr>
            <w:tcW w:type="dxa" w:w="1928"/>
            <w:tcMar>
              <w:top w:w="60" w:type="dxa"/>
              <w:bottom w:w="60" w:type="dxa"/>
              <w:start w:w="100" w:type="dxa"/>
              <w:end w:w="100" w:type="dxa"/>
            </w:tcMar>
          </w:tcPr>
          <w:p>
            <w:r/>
            <w:r>
              <w:rPr>
                <w:rFonts w:ascii="Calibri" w:hAnsi="Calibri"/>
                <w:b w:val="0"/>
                <w:sz w:val="19"/>
              </w:rPr>
              <w:t>Budget</w:t>
            </w:r>
          </w:p>
        </w:tc>
        <w:tc>
          <w:tcPr>
            <w:tcW w:type="dxa" w:w="6576"/>
            <w:tcMar>
              <w:top w:w="60" w:type="dxa"/>
              <w:bottom w:w="60" w:type="dxa"/>
              <w:start w:w="100" w:type="dxa"/>
              <w:end w:w="100" w:type="dxa"/>
            </w:tcMar>
          </w:tcPr>
          <w:p>
            <w:r/>
            <w:r>
              <w:rPr>
                <w:rFonts w:ascii="Calibri" w:hAnsi="Calibri"/>
                <w:b w:val="0"/>
                <w:sz w:val="19"/>
              </w:rPr>
              <w:t>Projet personnel ; le cloud est utilisé comme « turbo » ponctuel pour limiter les coûts.</w:t>
            </w:r>
          </w:p>
        </w:tc>
      </w:tr>
    </w:tbl>
    <w:p>
      <w:pPr>
        <w:spacing w:after="120"/>
      </w:pPr>
    </w:p>
    <w:p>
      <w:r>
        <w:br w:type="page"/>
      </w:r>
    </w:p>
    <w:p>
      <w:pPr>
        <w:pStyle w:val="Heading1"/>
      </w:pPr>
      <w:r>
        <w:t>15. Planning par paliers</w:t>
      </w:r>
    </w:p>
    <w:p>
      <w:pPr>
        <w:spacing w:after="120"/>
      </w:pPr>
      <w:r>
        <w:rPr>
          <w:i w:val="0"/>
        </w:rPr>
        <w:t>Le projet se construit par paliers successifs, chacun livrant une valeur utilisable et autonome. Le cœur (P0 à P2) est prioritaire ; les modules riches suivent. Le rythme est libre (projet personnel), sans dates calendaires imposées.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737"/>
            <w:shd w:val="clear" w:fill="1F6F78"/>
            <w:tcMar>
              <w:top w:w="60" w:type="dxa"/>
              <w:bottom w:w="60" w:type="dxa"/>
              <w:start w:w="100" w:type="dxa"/>
              <w:end w:w="100" w:type="dxa"/>
            </w:tcMar>
          </w:tcPr>
          <w:p>
            <w:r/>
            <w:r>
              <w:rPr>
                <w:rFonts w:ascii="Calibri" w:hAnsi="Calibri"/>
                <w:b/>
                <w:color w:val="FFFFFF"/>
                <w:sz w:val="18"/>
              </w:rPr>
              <w:t>Palier</w:t>
            </w:r>
          </w:p>
        </w:tc>
        <w:tc>
          <w:tcPr>
            <w:tcW w:type="dxa" w:w="1474"/>
            <w:shd w:val="clear" w:fill="1F6F78"/>
            <w:tcMar>
              <w:top w:w="60" w:type="dxa"/>
              <w:bottom w:w="60" w:type="dxa"/>
              <w:start w:w="100" w:type="dxa"/>
              <w:end w:w="100" w:type="dxa"/>
            </w:tcMar>
          </w:tcPr>
          <w:p>
            <w:r/>
            <w:r>
              <w:rPr>
                <w:rFonts w:ascii="Calibri" w:hAnsi="Calibri"/>
                <w:b/>
                <w:color w:val="FFFFFF"/>
                <w:sz w:val="18"/>
              </w:rPr>
              <w:t>Nom</w:t>
            </w:r>
          </w:p>
        </w:tc>
        <w:tc>
          <w:tcPr>
            <w:tcW w:type="dxa" w:w="3402"/>
            <w:shd w:val="clear" w:fill="1F6F78"/>
            <w:tcMar>
              <w:top w:w="60" w:type="dxa"/>
              <w:bottom w:w="60" w:type="dxa"/>
              <w:start w:w="100" w:type="dxa"/>
              <w:end w:w="100" w:type="dxa"/>
            </w:tcMar>
          </w:tcPr>
          <w:p>
            <w:r/>
            <w:r>
              <w:rPr>
                <w:rFonts w:ascii="Calibri" w:hAnsi="Calibri"/>
                <w:b/>
                <w:color w:val="FFFFFF"/>
                <w:sz w:val="18"/>
              </w:rPr>
              <w:t>Contenu</w:t>
            </w:r>
          </w:p>
        </w:tc>
        <w:tc>
          <w:tcPr>
            <w:tcW w:type="dxa" w:w="1871"/>
            <w:shd w:val="clear" w:fill="1F6F78"/>
            <w:tcMar>
              <w:top w:w="60" w:type="dxa"/>
              <w:bottom w:w="60" w:type="dxa"/>
              <w:start w:w="100" w:type="dxa"/>
              <w:end w:w="100" w:type="dxa"/>
            </w:tcMar>
          </w:tcPr>
          <w:p>
            <w:r/>
            <w:r>
              <w:rPr>
                <w:rFonts w:ascii="Calibri" w:hAnsi="Calibri"/>
                <w:b/>
                <w:color w:val="FFFFFF"/>
                <w:sz w:val="18"/>
              </w:rPr>
              <w:t>Raison d'être</w:t>
            </w:r>
          </w:p>
        </w:tc>
        <w:tc>
          <w:tcPr>
            <w:tcW w:type="dxa" w:w="1020"/>
            <w:shd w:val="clear" w:fill="1F6F78"/>
            <w:tcMar>
              <w:top w:w="60" w:type="dxa"/>
              <w:bottom w:w="60" w:type="dxa"/>
              <w:start w:w="100" w:type="dxa"/>
              <w:end w:w="100" w:type="dxa"/>
            </w:tcMar>
          </w:tcPr>
          <w:p>
            <w:r/>
            <w:r>
              <w:rPr>
                <w:rFonts w:ascii="Calibri" w:hAnsi="Calibri"/>
                <w:b/>
                <w:color w:val="FFFFFF"/>
                <w:sz w:val="18"/>
              </w:rPr>
              <w:t>Statut</w:t>
            </w:r>
          </w:p>
        </w:tc>
      </w:tr>
      <w:tr>
        <w:tc>
          <w:tcPr>
            <w:tcW w:type="dxa" w:w="737"/>
            <w:tcMar>
              <w:top w:w="60" w:type="dxa"/>
              <w:bottom w:w="60" w:type="dxa"/>
              <w:start w:w="100" w:type="dxa"/>
              <w:end w:w="100" w:type="dxa"/>
            </w:tcMar>
          </w:tcPr>
          <w:p>
            <w:r/>
            <w:r>
              <w:rPr>
                <w:rFonts w:ascii="Calibri" w:hAnsi="Calibri"/>
                <w:b w:val="0"/>
                <w:sz w:val="18"/>
              </w:rPr>
              <w:t>P0</w:t>
            </w:r>
          </w:p>
        </w:tc>
        <w:tc>
          <w:tcPr>
            <w:tcW w:type="dxa" w:w="1474"/>
            <w:tcMar>
              <w:top w:w="60" w:type="dxa"/>
              <w:bottom w:w="60" w:type="dxa"/>
              <w:start w:w="100" w:type="dxa"/>
              <w:end w:w="100" w:type="dxa"/>
            </w:tcMar>
          </w:tcPr>
          <w:p>
            <w:r/>
            <w:r>
              <w:rPr>
                <w:rFonts w:ascii="Calibri" w:hAnsi="Calibri"/>
                <w:b w:val="0"/>
                <w:sz w:val="18"/>
              </w:rPr>
              <w:t>Fondations</w:t>
            </w:r>
          </w:p>
        </w:tc>
        <w:tc>
          <w:tcPr>
            <w:tcW w:type="dxa" w:w="3402"/>
            <w:tcMar>
              <w:top w:w="60" w:type="dxa"/>
              <w:bottom w:w="60" w:type="dxa"/>
              <w:start w:w="100" w:type="dxa"/>
              <w:end w:w="100" w:type="dxa"/>
            </w:tcMar>
          </w:tcPr>
          <w:p>
            <w:r/>
            <w:r>
              <w:rPr>
                <w:rFonts w:ascii="Calibri" w:hAnsi="Calibri"/>
                <w:b w:val="0"/>
                <w:sz w:val="18"/>
              </w:rPr>
              <w:t>Dépôt, backend Go + PostgreSQL, modèle de données (actifs/passifs/valorisations), authentification des profils, CI/CD homelab.</w:t>
            </w:r>
          </w:p>
        </w:tc>
        <w:tc>
          <w:tcPr>
            <w:tcW w:type="dxa" w:w="1871"/>
            <w:tcMar>
              <w:top w:w="60" w:type="dxa"/>
              <w:bottom w:w="60" w:type="dxa"/>
              <w:start w:w="100" w:type="dxa"/>
              <w:end w:w="100" w:type="dxa"/>
            </w:tcMar>
          </w:tcPr>
          <w:p>
            <w:r/>
            <w:r>
              <w:rPr>
                <w:rFonts w:ascii="Calibri" w:hAnsi="Calibri"/>
                <w:b w:val="0"/>
                <w:sz w:val="18"/>
              </w:rPr>
              <w:t>La colonne vertébrale technique.</w:t>
            </w:r>
          </w:p>
        </w:tc>
        <w:tc>
          <w:tcPr>
            <w:tcW w:type="dxa" w:w="1020"/>
            <w:tcMar>
              <w:top w:w="60" w:type="dxa"/>
              <w:bottom w:w="60" w:type="dxa"/>
              <w:start w:w="100" w:type="dxa"/>
              <w:end w:w="100" w:type="dxa"/>
            </w:tcMar>
          </w:tcPr>
          <w:p>
            <w:r/>
            <w:r>
              <w:rPr>
                <w:rFonts w:ascii="Calibri" w:hAnsi="Calibri"/>
                <w:b w:val="0"/>
                <w:sz w:val="18"/>
              </w:rPr>
              <w:t>Réalisé</w:t>
            </w:r>
          </w:p>
        </w:tc>
      </w:tr>
      <w:tr>
        <w:tc>
          <w:tcPr>
            <w:tcW w:type="dxa" w:w="737"/>
            <w:tcMar>
              <w:top w:w="60" w:type="dxa"/>
              <w:bottom w:w="60" w:type="dxa"/>
              <w:start w:w="100" w:type="dxa"/>
              <w:end w:w="100" w:type="dxa"/>
            </w:tcMar>
            <w:shd w:val="clear" w:fill="F6F8F9"/>
          </w:tcPr>
          <w:p>
            <w:r/>
            <w:r>
              <w:rPr>
                <w:rFonts w:ascii="Calibri" w:hAnsi="Calibri"/>
                <w:b w:val="0"/>
                <w:sz w:val="18"/>
              </w:rPr>
              <w:t>P1</w:t>
            </w:r>
          </w:p>
        </w:tc>
        <w:tc>
          <w:tcPr>
            <w:tcW w:type="dxa" w:w="1474"/>
            <w:tcMar>
              <w:top w:w="60" w:type="dxa"/>
              <w:bottom w:w="60" w:type="dxa"/>
              <w:start w:w="100" w:type="dxa"/>
              <w:end w:w="100" w:type="dxa"/>
            </w:tcMar>
            <w:shd w:val="clear" w:fill="F6F8F9"/>
          </w:tcPr>
          <w:p>
            <w:r/>
            <w:r>
              <w:rPr>
                <w:rFonts w:ascii="Calibri" w:hAnsi="Calibri"/>
                <w:b w:val="0"/>
                <w:sz w:val="18"/>
              </w:rPr>
              <w:t>Patrimoine net (le « waouh »)</w:t>
            </w:r>
          </w:p>
        </w:tc>
        <w:tc>
          <w:tcPr>
            <w:tcW w:type="dxa" w:w="3402"/>
            <w:tcMar>
              <w:top w:w="60" w:type="dxa"/>
              <w:bottom w:w="60" w:type="dxa"/>
              <w:start w:w="100" w:type="dxa"/>
              <w:end w:w="100" w:type="dxa"/>
            </w:tcMar>
            <w:shd w:val="clear" w:fill="F6F8F9"/>
          </w:tcPr>
          <w:p>
            <w:r/>
            <w:r>
              <w:rPr>
                <w:rFonts w:ascii="Calibri" w:hAnsi="Calibri"/>
                <w:b w:val="0"/>
                <w:sz w:val="18"/>
              </w:rPr>
              <w:t>Accueil avec patrimoine net et graphe d'évolution, saisie manuelle des actifs et dettes, design system de base (Liquid Glass, thèmes, compteurs animés).</w:t>
            </w:r>
          </w:p>
        </w:tc>
        <w:tc>
          <w:tcPr>
            <w:tcW w:type="dxa" w:w="1871"/>
            <w:tcMar>
              <w:top w:w="60" w:type="dxa"/>
              <w:bottom w:w="60" w:type="dxa"/>
              <w:start w:w="100" w:type="dxa"/>
              <w:end w:w="100" w:type="dxa"/>
            </w:tcMar>
            <w:shd w:val="clear" w:fill="F6F8F9"/>
          </w:tcPr>
          <w:p>
            <w:r/>
            <w:r>
              <w:rPr>
                <w:rFonts w:ascii="Calibri" w:hAnsi="Calibri"/>
                <w:b w:val="0"/>
                <w:sz w:val="18"/>
              </w:rPr>
              <w:t>Impact émotionnel immédiat sans dépendances.</w:t>
            </w:r>
          </w:p>
        </w:tc>
        <w:tc>
          <w:tcPr>
            <w:tcW w:type="dxa" w:w="1020"/>
            <w:tcMar>
              <w:top w:w="60" w:type="dxa"/>
              <w:bottom w:w="60" w:type="dxa"/>
              <w:start w:w="100" w:type="dxa"/>
              <w:end w:w="100" w:type="dxa"/>
            </w:tcMar>
            <w:shd w:val="clear" w:fill="F6F8F9"/>
          </w:tcPr>
          <w:p>
            <w:r/>
            <w:r>
              <w:rPr>
                <w:rFonts w:ascii="Calibri" w:hAnsi="Calibri"/>
                <w:b w:val="0"/>
                <w:sz w:val="18"/>
              </w:rPr>
              <w:t>À venir</w:t>
            </w:r>
          </w:p>
        </w:tc>
      </w:tr>
      <w:tr>
        <w:tc>
          <w:tcPr>
            <w:tcW w:type="dxa" w:w="737"/>
            <w:tcMar>
              <w:top w:w="60" w:type="dxa"/>
              <w:bottom w:w="60" w:type="dxa"/>
              <w:start w:w="100" w:type="dxa"/>
              <w:end w:w="100" w:type="dxa"/>
            </w:tcMar>
          </w:tcPr>
          <w:p>
            <w:r/>
            <w:r>
              <w:rPr>
                <w:rFonts w:ascii="Calibri" w:hAnsi="Calibri"/>
                <w:b w:val="0"/>
                <w:sz w:val="18"/>
              </w:rPr>
              <w:t>P2</w:t>
            </w:r>
          </w:p>
        </w:tc>
        <w:tc>
          <w:tcPr>
            <w:tcW w:type="dxa" w:w="1474"/>
            <w:tcMar>
              <w:top w:w="60" w:type="dxa"/>
              <w:bottom w:w="60" w:type="dxa"/>
              <w:start w:w="100" w:type="dxa"/>
              <w:end w:w="100" w:type="dxa"/>
            </w:tcMar>
          </w:tcPr>
          <w:p>
            <w:r/>
            <w:r>
              <w:rPr>
                <w:rFonts w:ascii="Calibri" w:hAnsi="Calibri"/>
                <w:b w:val="0"/>
                <w:sz w:val="18"/>
              </w:rPr>
              <w:t>Le futur</w:t>
            </w:r>
          </w:p>
        </w:tc>
        <w:tc>
          <w:tcPr>
            <w:tcW w:type="dxa" w:w="3402"/>
            <w:tcMar>
              <w:top w:w="60" w:type="dxa"/>
              <w:bottom w:w="60" w:type="dxa"/>
              <w:start w:w="100" w:type="dxa"/>
              <w:end w:w="100" w:type="dxa"/>
            </w:tcMar>
          </w:tcPr>
          <w:p>
            <w:r/>
            <w:r>
              <w:rPr>
                <w:rFonts w:ascii="Calibri" w:hAnsi="Calibri"/>
                <w:b w:val="0"/>
                <w:sz w:val="18"/>
              </w:rPr>
              <w:t>Projection : date d'indépendance financière et simulateur d'épargne ; moteur financier déterministe.</w:t>
            </w:r>
          </w:p>
        </w:tc>
        <w:tc>
          <w:tcPr>
            <w:tcW w:type="dxa" w:w="1871"/>
            <w:tcMar>
              <w:top w:w="60" w:type="dxa"/>
              <w:bottom w:w="60" w:type="dxa"/>
              <w:start w:w="100" w:type="dxa"/>
              <w:end w:w="100" w:type="dxa"/>
            </w:tcMar>
          </w:tcPr>
          <w:p>
            <w:r/>
            <w:r>
              <w:rPr>
                <w:rFonts w:ascii="Calibri" w:hAnsi="Calibri"/>
                <w:b w:val="0"/>
                <w:sz w:val="18"/>
              </w:rPr>
              <w:t>Hook addictif, peu de code, gros effet.</w:t>
            </w:r>
          </w:p>
        </w:tc>
        <w:tc>
          <w:tcPr>
            <w:tcW w:type="dxa" w:w="1020"/>
            <w:tcMar>
              <w:top w:w="60" w:type="dxa"/>
              <w:bottom w:w="60" w:type="dxa"/>
              <w:start w:w="100" w:type="dxa"/>
              <w:end w:w="100" w:type="dxa"/>
            </w:tcMar>
          </w:tcPr>
          <w:p>
            <w:r/>
            <w:r>
              <w:rPr>
                <w:rFonts w:ascii="Calibri" w:hAnsi="Calibri"/>
                <w:b w:val="0"/>
                <w:sz w:val="18"/>
              </w:rPr>
              <w:t>À venir</w:t>
            </w:r>
          </w:p>
        </w:tc>
      </w:tr>
      <w:tr>
        <w:tc>
          <w:tcPr>
            <w:tcW w:type="dxa" w:w="737"/>
            <w:tcMar>
              <w:top w:w="60" w:type="dxa"/>
              <w:bottom w:w="60" w:type="dxa"/>
              <w:start w:w="100" w:type="dxa"/>
              <w:end w:w="100" w:type="dxa"/>
            </w:tcMar>
            <w:shd w:val="clear" w:fill="F6F8F9"/>
          </w:tcPr>
          <w:p>
            <w:r/>
            <w:r>
              <w:rPr>
                <w:rFonts w:ascii="Calibri" w:hAnsi="Calibri"/>
                <w:b w:val="0"/>
                <w:sz w:val="18"/>
              </w:rPr>
              <w:t>P3</w:t>
            </w:r>
          </w:p>
        </w:tc>
        <w:tc>
          <w:tcPr>
            <w:tcW w:type="dxa" w:w="1474"/>
            <w:tcMar>
              <w:top w:w="60" w:type="dxa"/>
              <w:bottom w:w="60" w:type="dxa"/>
              <w:start w:w="100" w:type="dxa"/>
              <w:end w:w="100" w:type="dxa"/>
            </w:tcMar>
            <w:shd w:val="clear" w:fill="F6F8F9"/>
          </w:tcPr>
          <w:p>
            <w:r/>
            <w:r>
              <w:rPr>
                <w:rFonts w:ascii="Calibri" w:hAnsi="Calibri"/>
                <w:b w:val="0"/>
                <w:sz w:val="18"/>
              </w:rPr>
              <w:t>Le quotidien</w:t>
            </w:r>
          </w:p>
        </w:tc>
        <w:tc>
          <w:tcPr>
            <w:tcW w:type="dxa" w:w="3402"/>
            <w:tcMar>
              <w:top w:w="60" w:type="dxa"/>
              <w:bottom w:w="60" w:type="dxa"/>
              <w:start w:w="100" w:type="dxa"/>
              <w:end w:w="100" w:type="dxa"/>
            </w:tcMar>
            <w:shd w:val="clear" w:fill="F6F8F9"/>
          </w:tcPr>
          <w:p>
            <w:r/>
            <w:r>
              <w:rPr>
                <w:rFonts w:ascii="Calibri" w:hAnsi="Calibri"/>
                <w:b w:val="0"/>
                <w:sz w:val="18"/>
              </w:rPr>
              <w:t>Flux : transactions, import CSV/OFX, catégorisation IA, calendrier financier, cashflow futur.</w:t>
            </w:r>
          </w:p>
        </w:tc>
        <w:tc>
          <w:tcPr>
            <w:tcW w:type="dxa" w:w="1871"/>
            <w:tcMar>
              <w:top w:w="60" w:type="dxa"/>
              <w:bottom w:w="60" w:type="dxa"/>
              <w:start w:w="100" w:type="dxa"/>
              <w:end w:w="100" w:type="dxa"/>
            </w:tcMar>
            <w:shd w:val="clear" w:fill="F6F8F9"/>
          </w:tcPr>
          <w:p>
            <w:r/>
            <w:r>
              <w:rPr>
                <w:rFonts w:ascii="Calibri" w:hAnsi="Calibri"/>
                <w:b w:val="0"/>
                <w:sz w:val="18"/>
              </w:rPr>
              <w:t>Le carburant des données.</w:t>
            </w:r>
          </w:p>
        </w:tc>
        <w:tc>
          <w:tcPr>
            <w:tcW w:type="dxa" w:w="1020"/>
            <w:tcMar>
              <w:top w:w="60" w:type="dxa"/>
              <w:bottom w:w="60" w:type="dxa"/>
              <w:start w:w="100" w:type="dxa"/>
              <w:end w:w="100" w:type="dxa"/>
            </w:tcMar>
            <w:shd w:val="clear" w:fill="F6F8F9"/>
          </w:tcPr>
          <w:p>
            <w:r/>
            <w:r>
              <w:rPr>
                <w:rFonts w:ascii="Calibri" w:hAnsi="Calibri"/>
                <w:b w:val="0"/>
                <w:sz w:val="18"/>
              </w:rPr>
              <w:t>À venir</w:t>
            </w:r>
          </w:p>
        </w:tc>
      </w:tr>
      <w:tr>
        <w:tc>
          <w:tcPr>
            <w:tcW w:type="dxa" w:w="737"/>
            <w:tcMar>
              <w:top w:w="60" w:type="dxa"/>
              <w:bottom w:w="60" w:type="dxa"/>
              <w:start w:w="100" w:type="dxa"/>
              <w:end w:w="100" w:type="dxa"/>
            </w:tcMar>
          </w:tcPr>
          <w:p>
            <w:r/>
            <w:r>
              <w:rPr>
                <w:rFonts w:ascii="Calibri" w:hAnsi="Calibri"/>
                <w:b w:val="0"/>
                <w:sz w:val="18"/>
              </w:rPr>
              <w:t>P4</w:t>
            </w:r>
          </w:p>
        </w:tc>
        <w:tc>
          <w:tcPr>
            <w:tcW w:type="dxa" w:w="1474"/>
            <w:tcMar>
              <w:top w:w="60" w:type="dxa"/>
              <w:bottom w:w="60" w:type="dxa"/>
              <w:start w:w="100" w:type="dxa"/>
              <w:end w:w="100" w:type="dxa"/>
            </w:tcMar>
          </w:tcPr>
          <w:p>
            <w:r/>
            <w:r>
              <w:rPr>
                <w:rFonts w:ascii="Calibri" w:hAnsi="Calibri"/>
                <w:b w:val="0"/>
                <w:sz w:val="18"/>
              </w:rPr>
              <w:t>Le pilotage</w:t>
            </w:r>
          </w:p>
        </w:tc>
        <w:tc>
          <w:tcPr>
            <w:tcW w:type="dxa" w:w="3402"/>
            <w:tcMar>
              <w:top w:w="60" w:type="dxa"/>
              <w:bottom w:w="60" w:type="dxa"/>
              <w:start w:w="100" w:type="dxa"/>
              <w:end w:w="100" w:type="dxa"/>
            </w:tcMar>
          </w:tcPr>
          <w:p>
            <w:r/>
            <w:r>
              <w:rPr>
                <w:rFonts w:ascii="Calibri" w:hAnsi="Calibri"/>
                <w:b w:val="0"/>
                <w:sz w:val="18"/>
              </w:rPr>
              <w:t>Enveloppes, objectifs intelligents, score de santé, alertes.</w:t>
            </w:r>
          </w:p>
        </w:tc>
        <w:tc>
          <w:tcPr>
            <w:tcW w:type="dxa" w:w="1871"/>
            <w:tcMar>
              <w:top w:w="60" w:type="dxa"/>
              <w:bottom w:w="60" w:type="dxa"/>
              <w:start w:w="100" w:type="dxa"/>
              <w:end w:w="100" w:type="dxa"/>
            </w:tcMar>
          </w:tcPr>
          <w:p>
            <w:r/>
            <w:r>
              <w:rPr>
                <w:rFonts w:ascii="Calibri" w:hAnsi="Calibri"/>
                <w:b w:val="0"/>
                <w:sz w:val="18"/>
              </w:rPr>
              <w:t>Le contrôle du budget.</w:t>
            </w:r>
          </w:p>
        </w:tc>
        <w:tc>
          <w:tcPr>
            <w:tcW w:type="dxa" w:w="1020"/>
            <w:tcMar>
              <w:top w:w="60" w:type="dxa"/>
              <w:bottom w:w="60" w:type="dxa"/>
              <w:start w:w="100" w:type="dxa"/>
              <w:end w:w="100" w:type="dxa"/>
            </w:tcMar>
          </w:tcPr>
          <w:p>
            <w:r/>
            <w:r>
              <w:rPr>
                <w:rFonts w:ascii="Calibri" w:hAnsi="Calibri"/>
                <w:b w:val="0"/>
                <w:sz w:val="18"/>
              </w:rPr>
              <w:t>À venir</w:t>
            </w:r>
          </w:p>
        </w:tc>
      </w:tr>
      <w:tr>
        <w:tc>
          <w:tcPr>
            <w:tcW w:type="dxa" w:w="737"/>
            <w:tcMar>
              <w:top w:w="60" w:type="dxa"/>
              <w:bottom w:w="60" w:type="dxa"/>
              <w:start w:w="100" w:type="dxa"/>
              <w:end w:w="100" w:type="dxa"/>
            </w:tcMar>
            <w:shd w:val="clear" w:fill="F6F8F9"/>
          </w:tcPr>
          <w:p>
            <w:r/>
            <w:r>
              <w:rPr>
                <w:rFonts w:ascii="Calibri" w:hAnsi="Calibri"/>
                <w:b w:val="0"/>
                <w:sz w:val="18"/>
              </w:rPr>
              <w:t>P5</w:t>
            </w:r>
          </w:p>
        </w:tc>
        <w:tc>
          <w:tcPr>
            <w:tcW w:type="dxa" w:w="1474"/>
            <w:tcMar>
              <w:top w:w="60" w:type="dxa"/>
              <w:bottom w:w="60" w:type="dxa"/>
              <w:start w:w="100" w:type="dxa"/>
              <w:end w:w="100" w:type="dxa"/>
            </w:tcMar>
            <w:shd w:val="clear" w:fill="F6F8F9"/>
          </w:tcPr>
          <w:p>
            <w:r/>
            <w:r>
              <w:rPr>
                <w:rFonts w:ascii="Calibri" w:hAnsi="Calibri"/>
                <w:b w:val="0"/>
                <w:sz w:val="18"/>
              </w:rPr>
              <w:t>Le cerveau</w:t>
            </w:r>
          </w:p>
        </w:tc>
        <w:tc>
          <w:tcPr>
            <w:tcW w:type="dxa" w:w="3402"/>
            <w:tcMar>
              <w:top w:w="60" w:type="dxa"/>
              <w:bottom w:w="60" w:type="dxa"/>
              <w:start w:w="100" w:type="dxa"/>
              <w:end w:w="100" w:type="dxa"/>
            </w:tcMar>
            <w:shd w:val="clear" w:fill="F6F8F9"/>
          </w:tcPr>
          <w:p>
            <w:r/>
            <w:r>
              <w:rPr>
                <w:rFonts w:ascii="Calibri" w:hAnsi="Calibri"/>
                <w:b w:val="0"/>
                <w:sz w:val="18"/>
              </w:rPr>
              <w:t>Assistant IA patrimonial, Mode Décision, Financial Twin, bilan mensuel, radar de risques ; AI Router, cascade et anonymisation.</w:t>
            </w:r>
          </w:p>
        </w:tc>
        <w:tc>
          <w:tcPr>
            <w:tcW w:type="dxa" w:w="1871"/>
            <w:tcMar>
              <w:top w:w="60" w:type="dxa"/>
              <w:bottom w:w="60" w:type="dxa"/>
              <w:start w:w="100" w:type="dxa"/>
              <w:end w:w="100" w:type="dxa"/>
            </w:tcMar>
            <w:shd w:val="clear" w:fill="F6F8F9"/>
          </w:tcPr>
          <w:p>
            <w:r/>
            <w:r>
              <w:rPr>
                <w:rFonts w:ascii="Calibri" w:hAnsi="Calibri"/>
                <w:b w:val="0"/>
                <w:sz w:val="18"/>
              </w:rPr>
              <w:t>Le vrai fossé concurrentiel.</w:t>
            </w:r>
          </w:p>
        </w:tc>
        <w:tc>
          <w:tcPr>
            <w:tcW w:type="dxa" w:w="1020"/>
            <w:tcMar>
              <w:top w:w="60" w:type="dxa"/>
              <w:bottom w:w="60" w:type="dxa"/>
              <w:start w:w="100" w:type="dxa"/>
              <w:end w:w="100" w:type="dxa"/>
            </w:tcMar>
            <w:shd w:val="clear" w:fill="F6F8F9"/>
          </w:tcPr>
          <w:p>
            <w:r/>
            <w:r>
              <w:rPr>
                <w:rFonts w:ascii="Calibri" w:hAnsi="Calibri"/>
                <w:b w:val="0"/>
                <w:sz w:val="18"/>
              </w:rPr>
              <w:t>À venir</w:t>
            </w:r>
          </w:p>
        </w:tc>
      </w:tr>
      <w:tr>
        <w:tc>
          <w:tcPr>
            <w:tcW w:type="dxa" w:w="737"/>
            <w:tcMar>
              <w:top w:w="60" w:type="dxa"/>
              <w:bottom w:w="60" w:type="dxa"/>
              <w:start w:w="100" w:type="dxa"/>
              <w:end w:w="100" w:type="dxa"/>
            </w:tcMar>
          </w:tcPr>
          <w:p>
            <w:r/>
            <w:r>
              <w:rPr>
                <w:rFonts w:ascii="Calibri" w:hAnsi="Calibri"/>
                <w:b w:val="0"/>
                <w:sz w:val="18"/>
              </w:rPr>
              <w:t>P6</w:t>
            </w:r>
          </w:p>
        </w:tc>
        <w:tc>
          <w:tcPr>
            <w:tcW w:type="dxa" w:w="1474"/>
            <w:tcMar>
              <w:top w:w="60" w:type="dxa"/>
              <w:bottom w:w="60" w:type="dxa"/>
              <w:start w:w="100" w:type="dxa"/>
              <w:end w:w="100" w:type="dxa"/>
            </w:tcMar>
          </w:tcPr>
          <w:p>
            <w:r/>
            <w:r>
              <w:rPr>
                <w:rFonts w:ascii="Calibri" w:hAnsi="Calibri"/>
                <w:b w:val="0"/>
                <w:sz w:val="18"/>
              </w:rPr>
              <w:t>La profondeur</w:t>
            </w:r>
          </w:p>
        </w:tc>
        <w:tc>
          <w:tcPr>
            <w:tcW w:type="dxa" w:w="3402"/>
            <w:tcMar>
              <w:top w:w="60" w:type="dxa"/>
              <w:bottom w:w="60" w:type="dxa"/>
              <w:start w:w="100" w:type="dxa"/>
              <w:end w:w="100" w:type="dxa"/>
            </w:tcMar>
          </w:tcPr>
          <w:p>
            <w:r/>
            <w:r>
              <w:rPr>
                <w:rFonts w:ascii="Calibri" w:hAnsi="Calibri"/>
                <w:b w:val="0"/>
                <w:sz w:val="18"/>
              </w:rPr>
              <w:t>Centre immobilier, investissements, valeur des objets, timeline patrimoniale, coffre-fort, plan de transmission.</w:t>
            </w:r>
          </w:p>
        </w:tc>
        <w:tc>
          <w:tcPr>
            <w:tcW w:type="dxa" w:w="1871"/>
            <w:tcMar>
              <w:top w:w="60" w:type="dxa"/>
              <w:bottom w:w="60" w:type="dxa"/>
              <w:start w:w="100" w:type="dxa"/>
              <w:end w:w="100" w:type="dxa"/>
            </w:tcMar>
          </w:tcPr>
          <w:p>
            <w:r/>
            <w:r>
              <w:rPr>
                <w:rFonts w:ascii="Calibri" w:hAnsi="Calibri"/>
                <w:b w:val="0"/>
                <w:sz w:val="18"/>
              </w:rPr>
              <w:t>Modules riches, ajoutés un par un.</w:t>
            </w:r>
          </w:p>
        </w:tc>
        <w:tc>
          <w:tcPr>
            <w:tcW w:type="dxa" w:w="1020"/>
            <w:tcMar>
              <w:top w:w="60" w:type="dxa"/>
              <w:bottom w:w="60" w:type="dxa"/>
              <w:start w:w="100" w:type="dxa"/>
              <w:end w:w="100" w:type="dxa"/>
            </w:tcMar>
          </w:tcPr>
          <w:p>
            <w:r/>
            <w:r>
              <w:rPr>
                <w:rFonts w:ascii="Calibri" w:hAnsi="Calibri"/>
                <w:b w:val="0"/>
                <w:sz w:val="18"/>
              </w:rPr>
              <w:t>À venir</w:t>
            </w:r>
          </w:p>
        </w:tc>
      </w:tr>
      <w:tr>
        <w:tc>
          <w:tcPr>
            <w:tcW w:type="dxa" w:w="737"/>
            <w:tcMar>
              <w:top w:w="60" w:type="dxa"/>
              <w:bottom w:w="60" w:type="dxa"/>
              <w:start w:w="100" w:type="dxa"/>
              <w:end w:w="100" w:type="dxa"/>
            </w:tcMar>
            <w:shd w:val="clear" w:fill="F6F8F9"/>
          </w:tcPr>
          <w:p>
            <w:r/>
            <w:r>
              <w:rPr>
                <w:rFonts w:ascii="Calibri" w:hAnsi="Calibri"/>
                <w:b w:val="0"/>
                <w:sz w:val="18"/>
              </w:rPr>
              <w:t>P7</w:t>
            </w:r>
          </w:p>
        </w:tc>
        <w:tc>
          <w:tcPr>
            <w:tcW w:type="dxa" w:w="1474"/>
            <w:tcMar>
              <w:top w:w="60" w:type="dxa"/>
              <w:bottom w:w="60" w:type="dxa"/>
              <w:start w:w="100" w:type="dxa"/>
              <w:end w:w="100" w:type="dxa"/>
            </w:tcMar>
            <w:shd w:val="clear" w:fill="F6F8F9"/>
          </w:tcPr>
          <w:p>
            <w:r/>
            <w:r>
              <w:rPr>
                <w:rFonts w:ascii="Calibri" w:hAnsi="Calibri"/>
                <w:b w:val="0"/>
                <w:sz w:val="18"/>
              </w:rPr>
              <w:t>Le confort</w:t>
            </w:r>
          </w:p>
        </w:tc>
        <w:tc>
          <w:tcPr>
            <w:tcW w:type="dxa" w:w="3402"/>
            <w:tcMar>
              <w:top w:w="60" w:type="dxa"/>
              <w:bottom w:w="60" w:type="dxa"/>
              <w:start w:w="100" w:type="dxa"/>
              <w:end w:w="100" w:type="dxa"/>
            </w:tcMar>
            <w:shd w:val="clear" w:fill="F6F8F9"/>
          </w:tcPr>
          <w:p>
            <w:r/>
            <w:r>
              <w:rPr>
                <w:rFonts w:ascii="Calibri" w:hAnsi="Calibri"/>
                <w:b w:val="0"/>
                <w:sz w:val="18"/>
              </w:rPr>
              <w:t>Synchro bancaire (GoCardless), comparateur de scénarios, module entrepreneur, widgets, Apple Watch, espace partagé.</w:t>
            </w:r>
          </w:p>
        </w:tc>
        <w:tc>
          <w:tcPr>
            <w:tcW w:type="dxa" w:w="1871"/>
            <w:tcMar>
              <w:top w:w="60" w:type="dxa"/>
              <w:bottom w:w="60" w:type="dxa"/>
              <w:start w:w="100" w:type="dxa"/>
              <w:end w:w="100" w:type="dxa"/>
            </w:tcMar>
            <w:shd w:val="clear" w:fill="F6F8F9"/>
          </w:tcPr>
          <w:p>
            <w:r/>
            <w:r>
              <w:rPr>
                <w:rFonts w:ascii="Calibri" w:hAnsi="Calibri"/>
                <w:b w:val="0"/>
                <w:sz w:val="18"/>
              </w:rPr>
              <w:t>Quand le cœur est solide.</w:t>
            </w:r>
          </w:p>
        </w:tc>
        <w:tc>
          <w:tcPr>
            <w:tcW w:type="dxa" w:w="1020"/>
            <w:tcMar>
              <w:top w:w="60" w:type="dxa"/>
              <w:bottom w:w="60" w:type="dxa"/>
              <w:start w:w="100" w:type="dxa"/>
              <w:end w:w="100" w:type="dxa"/>
            </w:tcMar>
            <w:shd w:val="clear" w:fill="F6F8F9"/>
          </w:tcPr>
          <w:p>
            <w:r/>
            <w:r>
              <w:rPr>
                <w:rFonts w:ascii="Calibri" w:hAnsi="Calibri"/>
                <w:b w:val="0"/>
                <w:sz w:val="18"/>
              </w:rPr>
              <w:t>À venir</w:t>
            </w:r>
          </w:p>
        </w:tc>
      </w:tr>
    </w:tbl>
    <w:p>
      <w:pPr>
        <w:spacing w:after="120"/>
      </w:pPr>
    </w:p>
    <w:p>
      <w:pPr>
        <w:pStyle w:val="Heading1"/>
      </w:pPr>
      <w:r>
        <w:t>16. Livrables</w:t>
      </w:r>
    </w:p>
    <w:p>
      <w:pPr>
        <w:pStyle w:val="ListBullet"/>
        <w:spacing w:after="40"/>
      </w:pPr>
      <w:r>
        <w:t>Backend Go avec base PostgreSQL et moteur financier déterministe testé unitairement.</w:t>
      </w:r>
    </w:p>
    <w:p>
      <w:pPr>
        <w:pStyle w:val="ListBullet"/>
        <w:spacing w:after="40"/>
      </w:pPr>
      <w:r>
        <w:t>Application iOS native (SwiftUI).</w:t>
      </w:r>
    </w:p>
    <w:p>
      <w:pPr>
        <w:pStyle w:val="ListBullet"/>
        <w:spacing w:after="40"/>
      </w:pPr>
      <w:r>
        <w:t>Application Web.</w:t>
      </w:r>
    </w:p>
    <w:p>
      <w:pPr>
        <w:pStyle w:val="ListBullet"/>
        <w:spacing w:after="40"/>
      </w:pPr>
      <w:r>
        <w:t>AI Router et intégrations IA (niveaux 1/2/3) avec moteur d'anonymisation.</w:t>
      </w:r>
    </w:p>
    <w:p>
      <w:pPr>
        <w:pStyle w:val="ListBullet"/>
        <w:spacing w:after="40"/>
      </w:pPr>
      <w:r>
        <w:t>Documentation : ce cahier des charges, le document de conception, le schéma de données et un README technique.</w:t>
      </w:r>
    </w:p>
    <w:p>
      <w:pPr>
        <w:pStyle w:val="ListBullet"/>
        <w:spacing w:after="40"/>
      </w:pPr>
      <w:r>
        <w:t>Pipeline d'intégration et de déploiement continus, avec déploiement sur le homelab.</w:t>
      </w:r>
    </w:p>
    <w:p>
      <w:pPr>
        <w:pStyle w:val="Heading1"/>
      </w:pPr>
      <w:r>
        <w:t>17. Critères d'acceptation (recette)</w:t>
      </w:r>
    </w:p>
    <w:tbl>
      <w:tblPr>
        <w:tblStyle w:val="TableGrid"/>
        <w:tblW w:type="auto" w:w="0"/>
        <w:jc w:val="center"/>
        <w:tblLook w:firstColumn="1" w:firstRow="1" w:lastColumn="0" w:lastRow="0" w:noHBand="0" w:noVBand="1" w:val="04A0"/>
      </w:tblPr>
      <w:tblGrid>
        <w:gridCol w:w="4873"/>
        <w:gridCol w:w="4873"/>
      </w:tblGrid>
      <w:tr>
        <w:tc>
          <w:tcPr>
            <w:tcW w:type="dxa" w:w="1020"/>
            <w:shd w:val="clear" w:fill="1F6F78"/>
            <w:tcMar>
              <w:top w:w="60" w:type="dxa"/>
              <w:bottom w:w="60" w:type="dxa"/>
              <w:start w:w="100" w:type="dxa"/>
              <w:end w:w="100" w:type="dxa"/>
            </w:tcMar>
          </w:tcPr>
          <w:p>
            <w:r/>
            <w:r>
              <w:rPr>
                <w:rFonts w:ascii="Calibri" w:hAnsi="Calibri"/>
                <w:b/>
                <w:color w:val="FFFFFF"/>
                <w:sz w:val="19"/>
              </w:rPr>
              <w:t>ID</w:t>
            </w:r>
          </w:p>
        </w:tc>
        <w:tc>
          <w:tcPr>
            <w:tcW w:type="dxa" w:w="7483"/>
            <w:shd w:val="clear" w:fill="1F6F78"/>
            <w:tcMar>
              <w:top w:w="60" w:type="dxa"/>
              <w:bottom w:w="60" w:type="dxa"/>
              <w:start w:w="100" w:type="dxa"/>
              <w:end w:w="100" w:type="dxa"/>
            </w:tcMar>
          </w:tcPr>
          <w:p>
            <w:r/>
            <w:r>
              <w:rPr>
                <w:rFonts w:ascii="Calibri" w:hAnsi="Calibri"/>
                <w:b/>
                <w:color w:val="FFFFFF"/>
                <w:sz w:val="19"/>
              </w:rPr>
              <w:t>Critère</w:t>
            </w:r>
          </w:p>
        </w:tc>
      </w:tr>
      <w:tr>
        <w:tc>
          <w:tcPr>
            <w:tcW w:type="dxa" w:w="1020"/>
            <w:tcMar>
              <w:top w:w="60" w:type="dxa"/>
              <w:bottom w:w="60" w:type="dxa"/>
              <w:start w:w="100" w:type="dxa"/>
              <w:end w:w="100" w:type="dxa"/>
            </w:tcMar>
          </w:tcPr>
          <w:p>
            <w:r/>
            <w:r>
              <w:rPr>
                <w:rFonts w:ascii="Calibri" w:hAnsi="Calibri"/>
                <w:b w:val="0"/>
                <w:sz w:val="19"/>
              </w:rPr>
              <w:t>CA-1</w:t>
            </w:r>
          </w:p>
        </w:tc>
        <w:tc>
          <w:tcPr>
            <w:tcW w:type="dxa" w:w="7483"/>
            <w:tcMar>
              <w:top w:w="60" w:type="dxa"/>
              <w:bottom w:w="60" w:type="dxa"/>
              <w:start w:w="100" w:type="dxa"/>
              <w:end w:w="100" w:type="dxa"/>
            </w:tcMar>
          </w:tcPr>
          <w:p>
            <w:r/>
            <w:r>
              <w:rPr>
                <w:rFonts w:ascii="Calibri" w:hAnsi="Calibri"/>
                <w:b w:val="0"/>
                <w:sz w:val="19"/>
              </w:rPr>
              <w:t>Le patrimoine net affiché égale exactement la somme des valorisations d'actifs moins les passifs (vérifiable manuellement).</w:t>
            </w:r>
          </w:p>
        </w:tc>
      </w:tr>
      <w:tr>
        <w:tc>
          <w:tcPr>
            <w:tcW w:type="dxa" w:w="1020"/>
            <w:tcMar>
              <w:top w:w="60" w:type="dxa"/>
              <w:bottom w:w="60" w:type="dxa"/>
              <w:start w:w="100" w:type="dxa"/>
              <w:end w:w="100" w:type="dxa"/>
            </w:tcMar>
            <w:shd w:val="clear" w:fill="F6F8F9"/>
          </w:tcPr>
          <w:p>
            <w:r/>
            <w:r>
              <w:rPr>
                <w:rFonts w:ascii="Calibri" w:hAnsi="Calibri"/>
                <w:b w:val="0"/>
                <w:sz w:val="19"/>
              </w:rPr>
              <w:t>CA-2</w:t>
            </w:r>
          </w:p>
        </w:tc>
        <w:tc>
          <w:tcPr>
            <w:tcW w:type="dxa" w:w="7483"/>
            <w:tcMar>
              <w:top w:w="60" w:type="dxa"/>
              <w:bottom w:w="60" w:type="dxa"/>
              <w:start w:w="100" w:type="dxa"/>
              <w:end w:w="100" w:type="dxa"/>
            </w:tcMar>
            <w:shd w:val="clear" w:fill="F6F8F9"/>
          </w:tcPr>
          <w:p>
            <w:r/>
            <w:r>
              <w:rPr>
                <w:rFonts w:ascii="Calibri" w:hAnsi="Calibri"/>
                <w:b w:val="0"/>
                <w:sz w:val="19"/>
              </w:rPr>
              <w:t>Aucun calcul monétaire n'utilise de flottant ; les tests unitaires du moteur passent (impact, projection, fonds d'urgence, date d'indépendance).</w:t>
            </w:r>
          </w:p>
        </w:tc>
      </w:tr>
      <w:tr>
        <w:tc>
          <w:tcPr>
            <w:tcW w:type="dxa" w:w="1020"/>
            <w:tcMar>
              <w:top w:w="60" w:type="dxa"/>
              <w:bottom w:w="60" w:type="dxa"/>
              <w:start w:w="100" w:type="dxa"/>
              <w:end w:w="100" w:type="dxa"/>
            </w:tcMar>
          </w:tcPr>
          <w:p>
            <w:r/>
            <w:r>
              <w:rPr>
                <w:rFonts w:ascii="Calibri" w:hAnsi="Calibri"/>
                <w:b w:val="0"/>
                <w:sz w:val="19"/>
              </w:rPr>
              <w:t>CA-3</w:t>
            </w:r>
          </w:p>
        </w:tc>
        <w:tc>
          <w:tcPr>
            <w:tcW w:type="dxa" w:w="7483"/>
            <w:tcMar>
              <w:top w:w="60" w:type="dxa"/>
              <w:bottom w:w="60" w:type="dxa"/>
              <w:start w:w="100" w:type="dxa"/>
              <w:end w:w="100" w:type="dxa"/>
            </w:tcMar>
          </w:tcPr>
          <w:p>
            <w:r/>
            <w:r>
              <w:rPr>
                <w:rFonts w:ascii="Calibri" w:hAnsi="Calibri"/>
                <w:b w:val="0"/>
                <w:sz w:val="19"/>
              </w:rPr>
              <w:t>Une donnée N1 n'est jamais transmise hors de l'appareil ou du homelab (test de non-régression).</w:t>
            </w:r>
          </w:p>
        </w:tc>
      </w:tr>
      <w:tr>
        <w:tc>
          <w:tcPr>
            <w:tcW w:type="dxa" w:w="1020"/>
            <w:tcMar>
              <w:top w:w="60" w:type="dxa"/>
              <w:bottom w:w="60" w:type="dxa"/>
              <w:start w:w="100" w:type="dxa"/>
              <w:end w:w="100" w:type="dxa"/>
            </w:tcMar>
            <w:shd w:val="clear" w:fill="F6F8F9"/>
          </w:tcPr>
          <w:p>
            <w:r/>
            <w:r>
              <w:rPr>
                <w:rFonts w:ascii="Calibri" w:hAnsi="Calibri"/>
                <w:b w:val="0"/>
                <w:sz w:val="19"/>
              </w:rPr>
              <w:t>CA-4</w:t>
            </w:r>
          </w:p>
        </w:tc>
        <w:tc>
          <w:tcPr>
            <w:tcW w:type="dxa" w:w="7483"/>
            <w:tcMar>
              <w:top w:w="60" w:type="dxa"/>
              <w:bottom w:w="60" w:type="dxa"/>
              <w:start w:w="100" w:type="dxa"/>
              <w:end w:w="100" w:type="dxa"/>
            </w:tcMar>
            <w:shd w:val="clear" w:fill="F6F8F9"/>
          </w:tcPr>
          <w:p>
            <w:r/>
            <w:r>
              <w:rPr>
                <w:rFonts w:ascii="Calibri" w:hAnsi="Calibri"/>
                <w:b w:val="0"/>
                <w:sz w:val="19"/>
              </w:rPr>
              <w:t>Tout envoi cloud (N2) est anonymisé et fait l'objet d'une confirmation pour les données sensibles.</w:t>
            </w:r>
          </w:p>
        </w:tc>
      </w:tr>
      <w:tr>
        <w:tc>
          <w:tcPr>
            <w:tcW w:type="dxa" w:w="1020"/>
            <w:tcMar>
              <w:top w:w="60" w:type="dxa"/>
              <w:bottom w:w="60" w:type="dxa"/>
              <w:start w:w="100" w:type="dxa"/>
              <w:end w:w="100" w:type="dxa"/>
            </w:tcMar>
          </w:tcPr>
          <w:p>
            <w:r/>
            <w:r>
              <w:rPr>
                <w:rFonts w:ascii="Calibri" w:hAnsi="Calibri"/>
                <w:b w:val="0"/>
                <w:sz w:val="19"/>
              </w:rPr>
              <w:t>CA-5</w:t>
            </w:r>
          </w:p>
        </w:tc>
        <w:tc>
          <w:tcPr>
            <w:tcW w:type="dxa" w:w="7483"/>
            <w:tcMar>
              <w:top w:w="60" w:type="dxa"/>
              <w:bottom w:w="60" w:type="dxa"/>
              <w:start w:w="100" w:type="dxa"/>
              <w:end w:w="100" w:type="dxa"/>
            </w:tcMar>
          </w:tcPr>
          <w:p>
            <w:r/>
            <w:r>
              <w:rPr>
                <w:rFonts w:ascii="Calibri" w:hAnsi="Calibri"/>
                <w:b w:val="0"/>
                <w:sz w:val="19"/>
              </w:rPr>
              <w:t>Le fallback IA fonctionne : iPhone → homelab → cloud, avec des messages clairs.</w:t>
            </w:r>
          </w:p>
        </w:tc>
      </w:tr>
      <w:tr>
        <w:tc>
          <w:tcPr>
            <w:tcW w:type="dxa" w:w="1020"/>
            <w:tcMar>
              <w:top w:w="60" w:type="dxa"/>
              <w:bottom w:w="60" w:type="dxa"/>
              <w:start w:w="100" w:type="dxa"/>
              <w:end w:w="100" w:type="dxa"/>
            </w:tcMar>
            <w:shd w:val="clear" w:fill="F6F8F9"/>
          </w:tcPr>
          <w:p>
            <w:r/>
            <w:r>
              <w:rPr>
                <w:rFonts w:ascii="Calibri" w:hAnsi="Calibri"/>
                <w:b w:val="0"/>
                <w:sz w:val="19"/>
              </w:rPr>
              <w:t>CA-6</w:t>
            </w:r>
          </w:p>
        </w:tc>
        <w:tc>
          <w:tcPr>
            <w:tcW w:type="dxa" w:w="7483"/>
            <w:tcMar>
              <w:top w:w="60" w:type="dxa"/>
              <w:bottom w:w="60" w:type="dxa"/>
              <w:start w:w="100" w:type="dxa"/>
              <w:end w:w="100" w:type="dxa"/>
            </w:tcMar>
            <w:shd w:val="clear" w:fill="F6F8F9"/>
          </w:tcPr>
          <w:p>
            <w:r/>
            <w:r>
              <w:rPr>
                <w:rFonts w:ascii="Calibri" w:hAnsi="Calibri"/>
                <w:b w:val="0"/>
                <w:sz w:val="19"/>
              </w:rPr>
              <w:t>L'IA n'affiche aucun chiffre financier qui ne provienne du moteur déterministe.</w:t>
            </w:r>
          </w:p>
        </w:tc>
      </w:tr>
      <w:tr>
        <w:tc>
          <w:tcPr>
            <w:tcW w:type="dxa" w:w="1020"/>
            <w:tcMar>
              <w:top w:w="60" w:type="dxa"/>
              <w:bottom w:w="60" w:type="dxa"/>
              <w:start w:w="100" w:type="dxa"/>
              <w:end w:w="100" w:type="dxa"/>
            </w:tcMar>
          </w:tcPr>
          <w:p>
            <w:r/>
            <w:r>
              <w:rPr>
                <w:rFonts w:ascii="Calibri" w:hAnsi="Calibri"/>
                <w:b w:val="0"/>
                <w:sz w:val="19"/>
              </w:rPr>
              <w:t>CA-7</w:t>
            </w:r>
          </w:p>
        </w:tc>
        <w:tc>
          <w:tcPr>
            <w:tcW w:type="dxa" w:w="7483"/>
            <w:tcMar>
              <w:top w:w="60" w:type="dxa"/>
              <w:bottom w:w="60" w:type="dxa"/>
              <w:start w:w="100" w:type="dxa"/>
              <w:end w:w="100" w:type="dxa"/>
            </w:tcMar>
          </w:tcPr>
          <w:p>
            <w:r/>
            <w:r>
              <w:rPr>
                <w:rFonts w:ascii="Calibri" w:hAnsi="Calibri"/>
                <w:b w:val="0"/>
                <w:sz w:val="19"/>
              </w:rPr>
              <w:t>L'interface iOS est fluide (aucun à-coup visible) sur les écrans principaux.</w:t>
            </w:r>
          </w:p>
        </w:tc>
      </w:tr>
      <w:tr>
        <w:tc>
          <w:tcPr>
            <w:tcW w:type="dxa" w:w="1020"/>
            <w:tcMar>
              <w:top w:w="60" w:type="dxa"/>
              <w:bottom w:w="60" w:type="dxa"/>
              <w:start w:w="100" w:type="dxa"/>
              <w:end w:w="100" w:type="dxa"/>
            </w:tcMar>
            <w:shd w:val="clear" w:fill="F6F8F9"/>
          </w:tcPr>
          <w:p>
            <w:r/>
            <w:r>
              <w:rPr>
                <w:rFonts w:ascii="Calibri" w:hAnsi="Calibri"/>
                <w:b w:val="0"/>
                <w:sz w:val="19"/>
              </w:rPr>
              <w:t>CA-8</w:t>
            </w:r>
          </w:p>
        </w:tc>
        <w:tc>
          <w:tcPr>
            <w:tcW w:type="dxa" w:w="7483"/>
            <w:tcMar>
              <w:top w:w="60" w:type="dxa"/>
              <w:bottom w:w="60" w:type="dxa"/>
              <w:start w:w="100" w:type="dxa"/>
              <w:end w:w="100" w:type="dxa"/>
            </w:tcMar>
            <w:shd w:val="clear" w:fill="F6F8F9"/>
          </w:tcPr>
          <w:p>
            <w:r/>
            <w:r>
              <w:rPr>
                <w:rFonts w:ascii="Calibri" w:hAnsi="Calibri"/>
                <w:b w:val="0"/>
                <w:sz w:val="19"/>
              </w:rPr>
              <w:t>Un import CSV produit des transactions catégorisées automatiquement et corrigeables.</w:t>
            </w:r>
          </w:p>
        </w:tc>
      </w:tr>
    </w:tbl>
    <w:p>
      <w:pPr>
        <w:spacing w:after="120"/>
      </w:pPr>
    </w:p>
    <w:p>
      <w:pPr>
        <w:pStyle w:val="Heading1"/>
      </w:pPr>
      <w:r>
        <w:t>18. Risques et mitigations</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fill="1F6F78"/>
            <w:tcMar>
              <w:top w:w="60" w:type="dxa"/>
              <w:bottom w:w="60" w:type="dxa"/>
              <w:start w:w="100" w:type="dxa"/>
              <w:end w:w="100" w:type="dxa"/>
            </w:tcMar>
          </w:tcPr>
          <w:p>
            <w:r/>
            <w:r>
              <w:rPr>
                <w:rFonts w:ascii="Calibri" w:hAnsi="Calibri"/>
                <w:b/>
                <w:color w:val="FFFFFF"/>
                <w:sz w:val="19"/>
              </w:rPr>
              <w:t>Risque</w:t>
            </w:r>
          </w:p>
        </w:tc>
        <w:tc>
          <w:tcPr>
            <w:tcW w:type="dxa" w:w="1984"/>
            <w:shd w:val="clear" w:fill="1F6F78"/>
            <w:tcMar>
              <w:top w:w="60" w:type="dxa"/>
              <w:bottom w:w="60" w:type="dxa"/>
              <w:start w:w="100" w:type="dxa"/>
              <w:end w:w="100" w:type="dxa"/>
            </w:tcMar>
          </w:tcPr>
          <w:p>
            <w:r/>
            <w:r>
              <w:rPr>
                <w:rFonts w:ascii="Calibri" w:hAnsi="Calibri"/>
                <w:b/>
                <w:color w:val="FFFFFF"/>
                <w:sz w:val="19"/>
              </w:rPr>
              <w:t>Impact</w:t>
            </w:r>
          </w:p>
        </w:tc>
        <w:tc>
          <w:tcPr>
            <w:tcW w:type="dxa" w:w="3685"/>
            <w:shd w:val="clear" w:fill="1F6F78"/>
            <w:tcMar>
              <w:top w:w="60" w:type="dxa"/>
              <w:bottom w:w="60" w:type="dxa"/>
              <w:start w:w="100" w:type="dxa"/>
              <w:end w:w="100" w:type="dxa"/>
            </w:tcMar>
          </w:tcPr>
          <w:p>
            <w:r/>
            <w:r>
              <w:rPr>
                <w:rFonts w:ascii="Calibri" w:hAnsi="Calibri"/>
                <w:b/>
                <w:color w:val="FFFFFF"/>
                <w:sz w:val="19"/>
              </w:rPr>
              <w:t>Mitigation</w:t>
            </w:r>
          </w:p>
        </w:tc>
      </w:tr>
      <w:tr>
        <w:tc>
          <w:tcPr>
            <w:tcW w:type="dxa" w:w="2835"/>
            <w:tcMar>
              <w:top w:w="60" w:type="dxa"/>
              <w:bottom w:w="60" w:type="dxa"/>
              <w:start w:w="100" w:type="dxa"/>
              <w:end w:w="100" w:type="dxa"/>
            </w:tcMar>
          </w:tcPr>
          <w:p>
            <w:r/>
            <w:r>
              <w:rPr>
                <w:rFonts w:ascii="Calibri" w:hAnsi="Calibri"/>
                <w:b w:val="0"/>
                <w:sz w:val="19"/>
              </w:rPr>
              <w:t>Périmètre trop large (neuf modules)</w:t>
            </w:r>
          </w:p>
        </w:tc>
        <w:tc>
          <w:tcPr>
            <w:tcW w:type="dxa" w:w="1984"/>
            <w:tcMar>
              <w:top w:w="60" w:type="dxa"/>
              <w:bottom w:w="60" w:type="dxa"/>
              <w:start w:w="100" w:type="dxa"/>
              <w:end w:w="100" w:type="dxa"/>
            </w:tcMar>
          </w:tcPr>
          <w:p>
            <w:r/>
            <w:r>
              <w:rPr>
                <w:rFonts w:ascii="Calibri" w:hAnsi="Calibri"/>
                <w:b w:val="0"/>
                <w:sz w:val="19"/>
              </w:rPr>
              <w:t>Projet jamais terminé</w:t>
            </w:r>
          </w:p>
        </w:tc>
        <w:tc>
          <w:tcPr>
            <w:tcW w:type="dxa" w:w="3685"/>
            <w:tcMar>
              <w:top w:w="60" w:type="dxa"/>
              <w:bottom w:w="60" w:type="dxa"/>
              <w:start w:w="100" w:type="dxa"/>
              <w:end w:w="100" w:type="dxa"/>
            </w:tcMar>
          </w:tcPr>
          <w:p>
            <w:r/>
            <w:r>
              <w:rPr>
                <w:rFonts w:ascii="Calibri" w:hAnsi="Calibri"/>
                <w:b w:val="0"/>
                <w:sz w:val="19"/>
              </w:rPr>
              <w:t>Construction par paliers ; le cœur d'abord (P0 → P2).</w:t>
            </w:r>
          </w:p>
        </w:tc>
      </w:tr>
      <w:tr>
        <w:tc>
          <w:tcPr>
            <w:tcW w:type="dxa" w:w="2835"/>
            <w:tcMar>
              <w:top w:w="60" w:type="dxa"/>
              <w:bottom w:w="60" w:type="dxa"/>
              <w:start w:w="100" w:type="dxa"/>
              <w:end w:w="100" w:type="dxa"/>
            </w:tcMar>
            <w:shd w:val="clear" w:fill="F6F8F9"/>
          </w:tcPr>
          <w:p>
            <w:r/>
            <w:r>
              <w:rPr>
                <w:rFonts w:ascii="Calibri" w:hAnsi="Calibri"/>
                <w:b w:val="0"/>
                <w:sz w:val="19"/>
              </w:rPr>
              <w:t>Exactitude des calculs financiers</w:t>
            </w:r>
          </w:p>
        </w:tc>
        <w:tc>
          <w:tcPr>
            <w:tcW w:type="dxa" w:w="1984"/>
            <w:tcMar>
              <w:top w:w="60" w:type="dxa"/>
              <w:bottom w:w="60" w:type="dxa"/>
              <w:start w:w="100" w:type="dxa"/>
              <w:end w:w="100" w:type="dxa"/>
            </w:tcMar>
            <w:shd w:val="clear" w:fill="F6F8F9"/>
          </w:tcPr>
          <w:p>
            <w:r/>
            <w:r>
              <w:rPr>
                <w:rFonts w:ascii="Calibri" w:hAnsi="Calibri"/>
                <w:b w:val="0"/>
                <w:sz w:val="19"/>
              </w:rPr>
              <w:t>Perte de confiance</w:t>
            </w:r>
          </w:p>
        </w:tc>
        <w:tc>
          <w:tcPr>
            <w:tcW w:type="dxa" w:w="3685"/>
            <w:tcMar>
              <w:top w:w="60" w:type="dxa"/>
              <w:bottom w:w="60" w:type="dxa"/>
              <w:start w:w="100" w:type="dxa"/>
              <w:end w:w="100" w:type="dxa"/>
            </w:tcMar>
            <w:shd w:val="clear" w:fill="F6F8F9"/>
          </w:tcPr>
          <w:p>
            <w:r/>
            <w:r>
              <w:rPr>
                <w:rFonts w:ascii="Calibri" w:hAnsi="Calibri"/>
                <w:b w:val="0"/>
                <w:sz w:val="19"/>
              </w:rPr>
              <w:t>Moteur déterministe et tests unitaires (CA-2).</w:t>
            </w:r>
          </w:p>
        </w:tc>
      </w:tr>
      <w:tr>
        <w:tc>
          <w:tcPr>
            <w:tcW w:type="dxa" w:w="2835"/>
            <w:tcMar>
              <w:top w:w="60" w:type="dxa"/>
              <w:bottom w:w="60" w:type="dxa"/>
              <w:start w:w="100" w:type="dxa"/>
              <w:end w:w="100" w:type="dxa"/>
            </w:tcMar>
          </w:tcPr>
          <w:p>
            <w:r/>
            <w:r>
              <w:rPr>
                <w:rFonts w:ascii="Calibri" w:hAnsi="Calibri"/>
                <w:b w:val="0"/>
                <w:sz w:val="19"/>
              </w:rPr>
              <w:t>Fuite de données sensibles vers le cloud</w:t>
            </w:r>
          </w:p>
        </w:tc>
        <w:tc>
          <w:tcPr>
            <w:tcW w:type="dxa" w:w="1984"/>
            <w:tcMar>
              <w:top w:w="60" w:type="dxa"/>
              <w:bottom w:w="60" w:type="dxa"/>
              <w:start w:w="100" w:type="dxa"/>
              <w:end w:w="100" w:type="dxa"/>
            </w:tcMar>
          </w:tcPr>
          <w:p>
            <w:r/>
            <w:r>
              <w:rPr>
                <w:rFonts w:ascii="Calibri" w:hAnsi="Calibri"/>
                <w:b w:val="0"/>
                <w:sz w:val="19"/>
              </w:rPr>
              <w:t>Critique (vie privée)</w:t>
            </w:r>
          </w:p>
        </w:tc>
        <w:tc>
          <w:tcPr>
            <w:tcW w:type="dxa" w:w="3685"/>
            <w:tcMar>
              <w:top w:w="60" w:type="dxa"/>
              <w:bottom w:w="60" w:type="dxa"/>
              <w:start w:w="100" w:type="dxa"/>
              <w:end w:w="100" w:type="dxa"/>
            </w:tcMar>
          </w:tcPr>
          <w:p>
            <w:r/>
            <w:r>
              <w:rPr>
                <w:rFonts w:ascii="Calibri" w:hAnsi="Calibri"/>
                <w:b w:val="0"/>
                <w:sz w:val="19"/>
              </w:rPr>
              <w:t>Niveaux N1/N2/N3, anonymisation et opt-in (CA-3/CA-4).</w:t>
            </w:r>
          </w:p>
        </w:tc>
      </w:tr>
      <w:tr>
        <w:tc>
          <w:tcPr>
            <w:tcW w:type="dxa" w:w="2835"/>
            <w:tcMar>
              <w:top w:w="60" w:type="dxa"/>
              <w:bottom w:w="60" w:type="dxa"/>
              <w:start w:w="100" w:type="dxa"/>
              <w:end w:w="100" w:type="dxa"/>
            </w:tcMar>
            <w:shd w:val="clear" w:fill="F6F8F9"/>
          </w:tcPr>
          <w:p>
            <w:r/>
            <w:r>
              <w:rPr>
                <w:rFonts w:ascii="Calibri" w:hAnsi="Calibri"/>
                <w:b w:val="0"/>
                <w:sz w:val="19"/>
              </w:rPr>
              <w:t>Dépendance au homelab allumé</w:t>
            </w:r>
          </w:p>
        </w:tc>
        <w:tc>
          <w:tcPr>
            <w:tcW w:type="dxa" w:w="1984"/>
            <w:tcMar>
              <w:top w:w="60" w:type="dxa"/>
              <w:bottom w:w="60" w:type="dxa"/>
              <w:start w:w="100" w:type="dxa"/>
              <w:end w:w="100" w:type="dxa"/>
            </w:tcMar>
            <w:shd w:val="clear" w:fill="F6F8F9"/>
          </w:tcPr>
          <w:p>
            <w:r/>
            <w:r>
              <w:rPr>
                <w:rFonts w:ascii="Calibri" w:hAnsi="Calibri"/>
                <w:b w:val="0"/>
                <w:sz w:val="19"/>
              </w:rPr>
              <w:t>Fonctions de niveau 2 indisponibles</w:t>
            </w:r>
          </w:p>
        </w:tc>
        <w:tc>
          <w:tcPr>
            <w:tcW w:type="dxa" w:w="3685"/>
            <w:tcMar>
              <w:top w:w="60" w:type="dxa"/>
              <w:bottom w:w="60" w:type="dxa"/>
              <w:start w:w="100" w:type="dxa"/>
              <w:end w:w="100" w:type="dxa"/>
            </w:tcMar>
            <w:shd w:val="clear" w:fill="F6F8F9"/>
          </w:tcPr>
          <w:p>
            <w:r/>
            <w:r>
              <w:rPr>
                <w:rFonts w:ascii="Calibri" w:hAnsi="Calibri"/>
                <w:b w:val="0"/>
                <w:sz w:val="19"/>
              </w:rPr>
              <w:t>Fallback cloud et dégradation gracieuse (ENF-008).</w:t>
            </w:r>
          </w:p>
        </w:tc>
      </w:tr>
      <w:tr>
        <w:tc>
          <w:tcPr>
            <w:tcW w:type="dxa" w:w="2835"/>
            <w:tcMar>
              <w:top w:w="60" w:type="dxa"/>
              <w:bottom w:w="60" w:type="dxa"/>
              <w:start w:w="100" w:type="dxa"/>
              <w:end w:w="100" w:type="dxa"/>
            </w:tcMar>
          </w:tcPr>
          <w:p>
            <w:r/>
            <w:r>
              <w:rPr>
                <w:rFonts w:ascii="Calibri" w:hAnsi="Calibri"/>
                <w:b w:val="0"/>
                <w:sz w:val="19"/>
              </w:rPr>
              <w:t>Qualité limitée de l'IA locale</w:t>
            </w:r>
          </w:p>
        </w:tc>
        <w:tc>
          <w:tcPr>
            <w:tcW w:type="dxa" w:w="1984"/>
            <w:tcMar>
              <w:top w:w="60" w:type="dxa"/>
              <w:bottom w:w="60" w:type="dxa"/>
              <w:start w:w="100" w:type="dxa"/>
              <w:end w:w="100" w:type="dxa"/>
            </w:tcMar>
          </w:tcPr>
          <w:p>
            <w:r/>
            <w:r>
              <w:rPr>
                <w:rFonts w:ascii="Calibri" w:hAnsi="Calibri"/>
                <w:b w:val="0"/>
                <w:sz w:val="19"/>
              </w:rPr>
              <w:t>Réponses de moindre qualité</w:t>
            </w:r>
          </w:p>
        </w:tc>
        <w:tc>
          <w:tcPr>
            <w:tcW w:type="dxa" w:w="3685"/>
            <w:tcMar>
              <w:top w:w="60" w:type="dxa"/>
              <w:bottom w:w="60" w:type="dxa"/>
              <w:start w:w="100" w:type="dxa"/>
              <w:end w:w="100" w:type="dxa"/>
            </w:tcMar>
          </w:tcPr>
          <w:p>
            <w:r/>
            <w:r>
              <w:rPr>
                <w:rFonts w:ascii="Calibri" w:hAnsi="Calibri"/>
                <w:b w:val="0"/>
                <w:sz w:val="19"/>
              </w:rPr>
              <w:t>Cascade : escalade vers homelab/cloud si insuffisant.</w:t>
            </w:r>
          </w:p>
        </w:tc>
      </w:tr>
      <w:tr>
        <w:tc>
          <w:tcPr>
            <w:tcW w:type="dxa" w:w="2835"/>
            <w:tcMar>
              <w:top w:w="60" w:type="dxa"/>
              <w:bottom w:w="60" w:type="dxa"/>
              <w:start w:w="100" w:type="dxa"/>
              <w:end w:w="100" w:type="dxa"/>
            </w:tcMar>
            <w:shd w:val="clear" w:fill="F6F8F9"/>
          </w:tcPr>
          <w:p>
            <w:r/>
            <w:r>
              <w:rPr>
                <w:rFonts w:ascii="Calibri" w:hAnsi="Calibri"/>
                <w:b w:val="0"/>
                <w:sz w:val="19"/>
              </w:rPr>
              <w:t>Jetons et clés d'API exposés</w:t>
            </w:r>
          </w:p>
        </w:tc>
        <w:tc>
          <w:tcPr>
            <w:tcW w:type="dxa" w:w="1984"/>
            <w:tcMar>
              <w:top w:w="60" w:type="dxa"/>
              <w:bottom w:w="60" w:type="dxa"/>
              <w:start w:w="100" w:type="dxa"/>
              <w:end w:w="100" w:type="dxa"/>
            </w:tcMar>
            <w:shd w:val="clear" w:fill="F6F8F9"/>
          </w:tcPr>
          <w:p>
            <w:r/>
            <w:r>
              <w:rPr>
                <w:rFonts w:ascii="Calibri" w:hAnsi="Calibri"/>
                <w:b w:val="0"/>
                <w:sz w:val="19"/>
              </w:rPr>
              <w:t>Faille de sécurité</w:t>
            </w:r>
          </w:p>
        </w:tc>
        <w:tc>
          <w:tcPr>
            <w:tcW w:type="dxa" w:w="3685"/>
            <w:tcMar>
              <w:top w:w="60" w:type="dxa"/>
              <w:bottom w:w="60" w:type="dxa"/>
              <w:start w:w="100" w:type="dxa"/>
              <w:end w:w="100" w:type="dxa"/>
            </w:tcMar>
            <w:shd w:val="clear" w:fill="F6F8F9"/>
          </w:tcPr>
          <w:p>
            <w:r/>
            <w:r>
              <w:rPr>
                <w:rFonts w:ascii="Calibri" w:hAnsi="Calibri"/>
                <w:b w:val="0"/>
                <w:sz w:val="19"/>
              </w:rPr>
              <w:t>Secrets hors code, en variables d'environnement ou coffre.</w:t>
            </w:r>
          </w:p>
        </w:tc>
      </w:tr>
    </w:tbl>
    <w:p>
      <w:pPr>
        <w:spacing w:after="120"/>
      </w:pPr>
    </w:p>
    <w:p>
      <w:pPr>
        <w:pStyle w:val="Heading1"/>
      </w:pPr>
      <w:r>
        <w:t>19. Décisions</w:t>
      </w:r>
    </w:p>
    <w:p>
      <w:pPr>
        <w:pStyle w:val="Heading2"/>
      </w:pPr>
      <w:r>
        <w:t>19.1 Tranchées</w:t>
      </w:r>
    </w:p>
    <w:p>
      <w:pPr>
        <w:pStyle w:val="ListBullet"/>
        <w:spacing w:after="40"/>
      </w:pPr>
      <w:r>
        <w:t>Nom du produit : Opale.</w:t>
      </w:r>
    </w:p>
    <w:p>
      <w:pPr>
        <w:pStyle w:val="ListBullet"/>
        <w:spacing w:after="40"/>
      </w:pPr>
      <w:r>
        <w:t>Client iOS : SwiftUI natif.</w:t>
      </w:r>
    </w:p>
    <w:p>
      <w:pPr>
        <w:pStyle w:val="ListBullet"/>
        <w:spacing w:after="40"/>
      </w:pPr>
      <w:r>
        <w:t>Backend : Go.</w:t>
      </w:r>
    </w:p>
    <w:p>
      <w:pPr>
        <w:pStyle w:val="ListBullet"/>
        <w:spacing w:after="40"/>
      </w:pPr>
      <w:r>
        <w:t>Base de données : PostgreSQL.</w:t>
      </w:r>
    </w:p>
    <w:p>
      <w:pPr>
        <w:pStyle w:val="ListBullet"/>
        <w:spacing w:after="40"/>
      </w:pPr>
      <w:r>
        <w:t>Stratégie IA : hybride en cascade (iPhone → homelab → cloud) avec AI Router et moteur déterministe.</w:t>
      </w:r>
    </w:p>
    <w:p>
      <w:pPr>
        <w:pStyle w:val="ListBullet"/>
        <w:spacing w:after="40"/>
      </w:pPr>
      <w:r>
        <w:t>Dépôt : dépôt dédié sur GitHub.</w:t>
      </w:r>
    </w:p>
    <w:p>
      <w:pPr>
        <w:pStyle w:val="Heading2"/>
      </w:pPr>
      <w:r>
        <w:t>19.2 Encore ouvertes</w:t>
      </w:r>
    </w:p>
    <w:p>
      <w:pPr>
        <w:pStyle w:val="ListBullet"/>
        <w:spacing w:after="40"/>
      </w:pPr>
      <w:r>
        <w:t>Framework Web : React ou Svelte.</w:t>
      </w:r>
    </w:p>
    <w:p>
      <w:pPr>
        <w:pStyle w:val="ListBullet"/>
        <w:spacing w:after="40"/>
      </w:pPr>
      <w:r>
        <w:t>Identité visuelle précise : palette exacte autour de l'opale, choix typographiques.</w:t>
      </w:r>
    </w:p>
    <w:p>
      <w:pPr>
        <w:pStyle w:val="Heading1"/>
      </w:pPr>
      <w:r>
        <w:t>20. Glossaire</w:t>
      </w:r>
    </w:p>
    <w:tbl>
      <w:tblPr>
        <w:tblStyle w:val="TableGrid"/>
        <w:tblW w:type="auto" w:w="0"/>
        <w:jc w:val="center"/>
        <w:tblLook w:firstColumn="1" w:firstRow="1" w:lastColumn="0" w:lastRow="0" w:noHBand="0" w:noVBand="1" w:val="04A0"/>
      </w:tblPr>
      <w:tblGrid>
        <w:gridCol w:w="4873"/>
        <w:gridCol w:w="4873"/>
      </w:tblGrid>
      <w:tr>
        <w:tc>
          <w:tcPr>
            <w:tcW w:type="dxa" w:w="2268"/>
            <w:shd w:val="clear" w:fill="1F6F78"/>
            <w:tcMar>
              <w:top w:w="60" w:type="dxa"/>
              <w:bottom w:w="60" w:type="dxa"/>
              <w:start w:w="100" w:type="dxa"/>
              <w:end w:w="100" w:type="dxa"/>
            </w:tcMar>
          </w:tcPr>
          <w:p>
            <w:r/>
            <w:r>
              <w:rPr>
                <w:rFonts w:ascii="Calibri" w:hAnsi="Calibri"/>
                <w:b/>
                <w:color w:val="FFFFFF"/>
                <w:sz w:val="19"/>
              </w:rPr>
              <w:t>Terme</w:t>
            </w:r>
          </w:p>
        </w:tc>
        <w:tc>
          <w:tcPr>
            <w:tcW w:type="dxa" w:w="6236"/>
            <w:shd w:val="clear" w:fill="1F6F78"/>
            <w:tcMar>
              <w:top w:w="60" w:type="dxa"/>
              <w:bottom w:w="60" w:type="dxa"/>
              <w:start w:w="100" w:type="dxa"/>
              <w:end w:w="100" w:type="dxa"/>
            </w:tcMar>
          </w:tcPr>
          <w:p>
            <w:r/>
            <w:r>
              <w:rPr>
                <w:rFonts w:ascii="Calibri" w:hAnsi="Calibri"/>
                <w:b/>
                <w:color w:val="FFFFFF"/>
                <w:sz w:val="19"/>
              </w:rPr>
              <w:t>Définition</w:t>
            </w:r>
          </w:p>
        </w:tc>
      </w:tr>
      <w:tr>
        <w:tc>
          <w:tcPr>
            <w:tcW w:type="dxa" w:w="2268"/>
            <w:tcMar>
              <w:top w:w="60" w:type="dxa"/>
              <w:bottom w:w="60" w:type="dxa"/>
              <w:start w:w="100" w:type="dxa"/>
              <w:end w:w="100" w:type="dxa"/>
            </w:tcMar>
          </w:tcPr>
          <w:p>
            <w:r/>
            <w:r>
              <w:rPr>
                <w:rFonts w:ascii="Calibri" w:hAnsi="Calibri"/>
                <w:b w:val="0"/>
                <w:sz w:val="19"/>
              </w:rPr>
              <w:t>Patrimoine net</w:t>
            </w:r>
          </w:p>
        </w:tc>
        <w:tc>
          <w:tcPr>
            <w:tcW w:type="dxa" w:w="6236"/>
            <w:tcMar>
              <w:top w:w="60" w:type="dxa"/>
              <w:bottom w:w="60" w:type="dxa"/>
              <w:start w:w="100" w:type="dxa"/>
              <w:end w:w="100" w:type="dxa"/>
            </w:tcMar>
          </w:tcPr>
          <w:p>
            <w:r/>
            <w:r>
              <w:rPr>
                <w:rFonts w:ascii="Calibri" w:hAnsi="Calibri"/>
                <w:b w:val="0"/>
                <w:sz w:val="19"/>
              </w:rPr>
              <w:t>Total des actifs moins le total des dettes.</w:t>
            </w:r>
          </w:p>
        </w:tc>
      </w:tr>
      <w:tr>
        <w:tc>
          <w:tcPr>
            <w:tcW w:type="dxa" w:w="2268"/>
            <w:tcMar>
              <w:top w:w="60" w:type="dxa"/>
              <w:bottom w:w="60" w:type="dxa"/>
              <w:start w:w="100" w:type="dxa"/>
              <w:end w:w="100" w:type="dxa"/>
            </w:tcMar>
            <w:shd w:val="clear" w:fill="F6F8F9"/>
          </w:tcPr>
          <w:p>
            <w:r/>
            <w:r>
              <w:rPr>
                <w:rFonts w:ascii="Calibri" w:hAnsi="Calibri"/>
                <w:b w:val="0"/>
                <w:sz w:val="19"/>
              </w:rPr>
              <w:t>FIRE / date d'indépendance</w:t>
            </w:r>
          </w:p>
        </w:tc>
        <w:tc>
          <w:tcPr>
            <w:tcW w:type="dxa" w:w="6236"/>
            <w:tcMar>
              <w:top w:w="60" w:type="dxa"/>
              <w:bottom w:w="60" w:type="dxa"/>
              <w:start w:w="100" w:type="dxa"/>
              <w:end w:w="100" w:type="dxa"/>
            </w:tcMar>
            <w:shd w:val="clear" w:fill="F6F8F9"/>
          </w:tcPr>
          <w:p>
            <w:r/>
            <w:r>
              <w:rPr>
                <w:rFonts w:ascii="Calibri" w:hAnsi="Calibri"/>
                <w:b w:val="0"/>
                <w:sz w:val="19"/>
              </w:rPr>
              <w:t>Moment où les revenus du patrimoine couvrent durablement les besoins de l'utilisateur.</w:t>
            </w:r>
          </w:p>
        </w:tc>
      </w:tr>
      <w:tr>
        <w:tc>
          <w:tcPr>
            <w:tcW w:type="dxa" w:w="2268"/>
            <w:tcMar>
              <w:top w:w="60" w:type="dxa"/>
              <w:bottom w:w="60" w:type="dxa"/>
              <w:start w:w="100" w:type="dxa"/>
              <w:end w:w="100" w:type="dxa"/>
            </w:tcMar>
          </w:tcPr>
          <w:p>
            <w:r/>
            <w:r>
              <w:rPr>
                <w:rFonts w:ascii="Calibri" w:hAnsi="Calibri"/>
                <w:b w:val="0"/>
                <w:sz w:val="19"/>
              </w:rPr>
              <w:t>Financial Twin</w:t>
            </w:r>
          </w:p>
        </w:tc>
        <w:tc>
          <w:tcPr>
            <w:tcW w:type="dxa" w:w="6236"/>
            <w:tcMar>
              <w:top w:w="60" w:type="dxa"/>
              <w:bottom w:w="60" w:type="dxa"/>
              <w:start w:w="100" w:type="dxa"/>
              <w:end w:w="100" w:type="dxa"/>
            </w:tcMar>
          </w:tcPr>
          <w:p>
            <w:r/>
            <w:r>
              <w:rPr>
                <w:rFonts w:ascii="Calibri" w:hAnsi="Calibri"/>
                <w:b w:val="0"/>
                <w:sz w:val="19"/>
              </w:rPr>
              <w:t>Double financier simulable de l'utilisateur, cœur du moteur de simulation.</w:t>
            </w:r>
          </w:p>
        </w:tc>
      </w:tr>
      <w:tr>
        <w:tc>
          <w:tcPr>
            <w:tcW w:type="dxa" w:w="2268"/>
            <w:tcMar>
              <w:top w:w="60" w:type="dxa"/>
              <w:bottom w:w="60" w:type="dxa"/>
              <w:start w:w="100" w:type="dxa"/>
              <w:end w:w="100" w:type="dxa"/>
            </w:tcMar>
            <w:shd w:val="clear" w:fill="F6F8F9"/>
          </w:tcPr>
          <w:p>
            <w:r/>
            <w:r>
              <w:rPr>
                <w:rFonts w:ascii="Calibri" w:hAnsi="Calibri"/>
                <w:b w:val="0"/>
                <w:sz w:val="19"/>
              </w:rPr>
              <w:t>AI Router</w:t>
            </w:r>
          </w:p>
        </w:tc>
        <w:tc>
          <w:tcPr>
            <w:tcW w:type="dxa" w:w="6236"/>
            <w:tcMar>
              <w:top w:w="60" w:type="dxa"/>
              <w:bottom w:w="60" w:type="dxa"/>
              <w:start w:w="100" w:type="dxa"/>
              <w:end w:w="100" w:type="dxa"/>
            </w:tcMar>
            <w:shd w:val="clear" w:fill="F6F8F9"/>
          </w:tcPr>
          <w:p>
            <w:r/>
            <w:r>
              <w:rPr>
                <w:rFonts w:ascii="Calibri" w:hAnsi="Calibri"/>
                <w:b w:val="0"/>
                <w:sz w:val="19"/>
              </w:rPr>
              <w:t>Module qui choisit le niveau d'IA (local, homelab, cloud) pour chaque demande.</w:t>
            </w:r>
          </w:p>
        </w:tc>
      </w:tr>
      <w:tr>
        <w:tc>
          <w:tcPr>
            <w:tcW w:type="dxa" w:w="2268"/>
            <w:tcMar>
              <w:top w:w="60" w:type="dxa"/>
              <w:bottom w:w="60" w:type="dxa"/>
              <w:start w:w="100" w:type="dxa"/>
              <w:end w:w="100" w:type="dxa"/>
            </w:tcMar>
          </w:tcPr>
          <w:p>
            <w:r/>
            <w:r>
              <w:rPr>
                <w:rFonts w:ascii="Calibri" w:hAnsi="Calibri"/>
                <w:b w:val="0"/>
                <w:sz w:val="19"/>
              </w:rPr>
              <w:t>Moteur financier déterministe</w:t>
            </w:r>
          </w:p>
        </w:tc>
        <w:tc>
          <w:tcPr>
            <w:tcW w:type="dxa" w:w="6236"/>
            <w:tcMar>
              <w:top w:w="60" w:type="dxa"/>
              <w:bottom w:w="60" w:type="dxa"/>
              <w:start w:w="100" w:type="dxa"/>
              <w:end w:w="100" w:type="dxa"/>
            </w:tcMar>
          </w:tcPr>
          <w:p>
            <w:r/>
            <w:r>
              <w:rPr>
                <w:rFonts w:ascii="Calibri" w:hAnsi="Calibri"/>
                <w:b w:val="0"/>
                <w:sz w:val="19"/>
              </w:rPr>
              <w:t>Module de calcul non-IA, source de vérité de tous les chiffres.</w:t>
            </w:r>
          </w:p>
        </w:tc>
      </w:tr>
      <w:tr>
        <w:tc>
          <w:tcPr>
            <w:tcW w:type="dxa" w:w="2268"/>
            <w:tcMar>
              <w:top w:w="60" w:type="dxa"/>
              <w:bottom w:w="60" w:type="dxa"/>
              <w:start w:w="100" w:type="dxa"/>
              <w:end w:w="100" w:type="dxa"/>
            </w:tcMar>
            <w:shd w:val="clear" w:fill="F6F8F9"/>
          </w:tcPr>
          <w:p>
            <w:r/>
            <w:r>
              <w:rPr>
                <w:rFonts w:ascii="Calibri" w:hAnsi="Calibri"/>
                <w:b w:val="0"/>
                <w:sz w:val="19"/>
              </w:rPr>
              <w:t>N1 / N2 / N3</w:t>
            </w:r>
          </w:p>
        </w:tc>
        <w:tc>
          <w:tcPr>
            <w:tcW w:type="dxa" w:w="6236"/>
            <w:tcMar>
              <w:top w:w="60" w:type="dxa"/>
              <w:bottom w:w="60" w:type="dxa"/>
              <w:start w:w="100" w:type="dxa"/>
              <w:end w:w="100" w:type="dxa"/>
            </w:tcMar>
            <w:shd w:val="clear" w:fill="F6F8F9"/>
          </w:tcPr>
          <w:p>
            <w:r/>
            <w:r>
              <w:rPr>
                <w:rFonts w:ascii="Calibri" w:hAnsi="Calibri"/>
                <w:b w:val="0"/>
                <w:sz w:val="19"/>
              </w:rPr>
              <w:t>Niveaux de confidentialité des données : local strict, cloud anonymisé possible, cloud interdit.</w:t>
            </w:r>
          </w:p>
        </w:tc>
      </w:tr>
      <w:tr>
        <w:tc>
          <w:tcPr>
            <w:tcW w:type="dxa" w:w="2268"/>
            <w:tcMar>
              <w:top w:w="60" w:type="dxa"/>
              <w:bottom w:w="60" w:type="dxa"/>
              <w:start w:w="100" w:type="dxa"/>
              <w:end w:w="100" w:type="dxa"/>
            </w:tcMar>
          </w:tcPr>
          <w:p>
            <w:r/>
            <w:r>
              <w:rPr>
                <w:rFonts w:ascii="Calibri" w:hAnsi="Calibri"/>
                <w:b w:val="0"/>
                <w:sz w:val="19"/>
              </w:rPr>
              <w:t>Valorisation</w:t>
            </w:r>
          </w:p>
        </w:tc>
        <w:tc>
          <w:tcPr>
            <w:tcW w:type="dxa" w:w="6236"/>
            <w:tcMar>
              <w:top w:w="60" w:type="dxa"/>
              <w:bottom w:w="60" w:type="dxa"/>
              <w:start w:w="100" w:type="dxa"/>
              <w:end w:w="100" w:type="dxa"/>
            </w:tcMar>
          </w:tcPr>
          <w:p>
            <w:r/>
            <w:r>
              <w:rPr>
                <w:rFonts w:ascii="Calibri" w:hAnsi="Calibri"/>
                <w:b w:val="0"/>
                <w:sz w:val="19"/>
              </w:rPr>
              <w:t>Snapshot daté de la valeur d'un actif ou d'un passif.</w:t>
            </w:r>
          </w:p>
        </w:tc>
      </w:tr>
      <w:tr>
        <w:tc>
          <w:tcPr>
            <w:tcW w:type="dxa" w:w="2268"/>
            <w:tcMar>
              <w:top w:w="60" w:type="dxa"/>
              <w:bottom w:w="60" w:type="dxa"/>
              <w:start w:w="100" w:type="dxa"/>
              <w:end w:w="100" w:type="dxa"/>
            </w:tcMar>
            <w:shd w:val="clear" w:fill="F6F8F9"/>
          </w:tcPr>
          <w:p>
            <w:r/>
            <w:r>
              <w:rPr>
                <w:rFonts w:ascii="Calibri" w:hAnsi="Calibri"/>
                <w:b w:val="0"/>
                <w:sz w:val="19"/>
              </w:rPr>
              <w:t>Enveloppe</w:t>
            </w:r>
          </w:p>
        </w:tc>
        <w:tc>
          <w:tcPr>
            <w:tcW w:type="dxa" w:w="6236"/>
            <w:tcMar>
              <w:top w:w="60" w:type="dxa"/>
              <w:bottom w:w="60" w:type="dxa"/>
              <w:start w:w="100" w:type="dxa"/>
              <w:end w:w="100" w:type="dxa"/>
            </w:tcMar>
            <w:shd w:val="clear" w:fill="F6F8F9"/>
          </w:tcPr>
          <w:p>
            <w:r/>
            <w:r>
              <w:rPr>
                <w:rFonts w:ascii="Calibri" w:hAnsi="Calibri"/>
                <w:b w:val="0"/>
                <w:sz w:val="19"/>
              </w:rPr>
              <w:t>Allocation budgétaire préalable d'une somme à une catégorie de dépenses.</w:t>
            </w:r>
          </w:p>
        </w:tc>
      </w:tr>
      <w:tr>
        <w:tc>
          <w:tcPr>
            <w:tcW w:type="dxa" w:w="2268"/>
            <w:tcMar>
              <w:top w:w="60" w:type="dxa"/>
              <w:bottom w:w="60" w:type="dxa"/>
              <w:start w:w="100" w:type="dxa"/>
              <w:end w:w="100" w:type="dxa"/>
            </w:tcMar>
          </w:tcPr>
          <w:p>
            <w:r/>
            <w:r>
              <w:rPr>
                <w:rFonts w:ascii="Calibri" w:hAnsi="Calibri"/>
                <w:b w:val="0"/>
                <w:sz w:val="19"/>
              </w:rPr>
              <w:t>Liquid Glass</w:t>
            </w:r>
          </w:p>
        </w:tc>
        <w:tc>
          <w:tcPr>
            <w:tcW w:type="dxa" w:w="6236"/>
            <w:tcMar>
              <w:top w:w="60" w:type="dxa"/>
              <w:bottom w:w="60" w:type="dxa"/>
              <w:start w:w="100" w:type="dxa"/>
              <w:end w:w="100" w:type="dxa"/>
            </w:tcMar>
          </w:tcPr>
          <w:p>
            <w:r/>
            <w:r>
              <w:rPr>
                <w:rFonts w:ascii="Calibri" w:hAnsi="Calibri"/>
                <w:b w:val="0"/>
                <w:sz w:val="19"/>
              </w:rPr>
              <w:t>Matériau translucide d'iOS 26 (profondeur, reflets) utilisé par le design d'Opale.</w:t>
            </w:r>
          </w:p>
        </w:tc>
      </w:tr>
      <w:tr>
        <w:tc>
          <w:tcPr>
            <w:tcW w:type="dxa" w:w="2268"/>
            <w:tcMar>
              <w:top w:w="60" w:type="dxa"/>
              <w:bottom w:w="60" w:type="dxa"/>
              <w:start w:w="100" w:type="dxa"/>
              <w:end w:w="100" w:type="dxa"/>
            </w:tcMar>
            <w:shd w:val="clear" w:fill="F6F8F9"/>
          </w:tcPr>
          <w:p>
            <w:r/>
            <w:r>
              <w:rPr>
                <w:rFonts w:ascii="Calibri" w:hAnsi="Calibri"/>
                <w:b w:val="0"/>
                <w:sz w:val="19"/>
              </w:rPr>
              <w:t>DSP2</w:t>
            </w:r>
          </w:p>
        </w:tc>
        <w:tc>
          <w:tcPr>
            <w:tcW w:type="dxa" w:w="6236"/>
            <w:tcMar>
              <w:top w:w="60" w:type="dxa"/>
              <w:bottom w:w="60" w:type="dxa"/>
              <w:start w:w="100" w:type="dxa"/>
              <w:end w:w="100" w:type="dxa"/>
            </w:tcMar>
            <w:shd w:val="clear" w:fill="F6F8F9"/>
          </w:tcPr>
          <w:p>
            <w:r/>
            <w:r>
              <w:rPr>
                <w:rFonts w:ascii="Calibri" w:hAnsi="Calibri"/>
                <w:b w:val="0"/>
                <w:sz w:val="19"/>
              </w:rPr>
              <w:t>Directive européenne sur les services de paiement, base de l'agrégation bancaire (GoCardless).</w:t>
            </w:r>
          </w:p>
        </w:tc>
      </w:tr>
    </w:tbl>
    <w:p>
      <w:pPr>
        <w:spacing w:after="120"/>
      </w:pPr>
    </w:p>
    <w:p>
      <w:pPr>
        <w:pStyle w:val="Heading1"/>
      </w:pPr>
      <w:r>
        <w:t>21. Références</w:t>
      </w:r>
    </w:p>
    <w:p>
      <w:pPr>
        <w:pStyle w:val="ListBullet"/>
        <w:spacing w:after="40"/>
      </w:pPr>
      <w:r>
        <w:t>Monarch Money, Copilot Money, Empower (Personal Capital) — références de gestion de patrimoine.</w:t>
      </w:r>
    </w:p>
    <w:p>
      <w:pPr>
        <w:pStyle w:val="ListBullet"/>
        <w:spacing w:after="40"/>
      </w:pPr>
      <w:r>
        <w:t>Revolut — référence de design et de fluidité.</w:t>
      </w:r>
    </w:p>
    <w:p>
      <w:pPr>
        <w:pStyle w:val="ListBullet"/>
        <w:spacing w:after="40"/>
      </w:pPr>
      <w:r>
        <w:t>Apple Foundation Models — IA locale sur iOS.</w:t>
      </w:r>
    </w:p>
    <w:p>
      <w:pPr>
        <w:pStyle w:val="ListBullet"/>
        <w:spacing w:after="40"/>
      </w:pPr>
      <w:r>
        <w:t>GoCardless Bank Account Data (ex-Nordigen) — agrégation bancaire DSP2.</w:t>
      </w:r>
    </w:p>
    <w:p>
      <w:pPr>
        <w:pStyle w:val="ListBullet"/>
        <w:spacing w:after="40"/>
      </w:pPr>
      <w:r>
        <w:t>Documents internes : CAHIER-DES-CHARGES.md (synthèse), CONCEPTION.md (vision), docs/DATA-MODEL.md (modèle de données).</w:t>
      </w:r>
    </w:p>
    <w:sectPr w:rsidR="00FC693F" w:rsidRPr="0006063C" w:rsidSect="00034616">
      <w:footerReference w:type="default" r:id="rId9"/>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0"/>
        <w:sz w:val="17"/>
      </w:rPr>
      <w:t xml:space="preserve">Opale — Cahier des charges détaillé v2.0   ·   Page </w:t>
    </w:r>
    <w:r>
      <w:fldChar w:fldCharType="begin"/>
    </w:r>
    <w:r>
      <w:instrText xml:space="preserve">PAGE</w:instrText>
    </w:r>
    <w:r>
      <w:fldChar w:fldCharType="separate"/>
    </w:r>
    <w:r>
      <w:t>…</w:t>
    </w:r>
    <w:r>
      <w:fldChar w:fldCharType="end"/>
    </w:r>
    <w:r>
      <w:rPr>
        <w:color w:val="5B6670"/>
        <w:sz w:val="17"/>
      </w:rPr>
      <w:t xml:space="preserve">  /  </w:t>
    </w:r>
    <w:r>
      <w:fldChar w:fldCharType="begin"/>
    </w:r>
    <w:r>
      <w:instrText xml:space="preserve">NUMPAGES</w:instrText>
    </w:r>
    <w:r>
      <w:fldChar w:fldCharType="separate"/>
    </w:r>
    <w:r>
      <w:t>…</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6F78"/>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2A37"/>
      <w:sz w:val="29"/>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b/>
      <w:bCs/>
      <w:color w:val="6C5CE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