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20D38617" w:rsidR="00612193" w:rsidRDefault="0061219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déclare une table « jour » dans le cas ou elle n’existerait pas. On y insère deux colonnes, l’une « id » de type entier à onze caractères sans possibilité de virginité et la valeur est autoincrémentée dans une clef étrangère et une autre colonne nommée « libelle », de type varchar à 20 charactères maximum sans possibilité de virginité.</w:t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4620C7" w14:textId="77777777" w:rsidR="00345AE6" w:rsidRDefault="00345AE6" w:rsidP="00307692">
      <w:r>
        <w:separator/>
      </w:r>
    </w:p>
  </w:endnote>
  <w:endnote w:type="continuationSeparator" w:id="0">
    <w:p w14:paraId="375CA1F5" w14:textId="77777777" w:rsidR="00345AE6" w:rsidRDefault="00345AE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6DD66A" w14:textId="77777777" w:rsidR="00345AE6" w:rsidRDefault="00345AE6" w:rsidP="00307692">
      <w:r>
        <w:separator/>
      </w:r>
    </w:p>
  </w:footnote>
  <w:footnote w:type="continuationSeparator" w:id="0">
    <w:p w14:paraId="38C52703" w14:textId="77777777" w:rsidR="00345AE6" w:rsidRDefault="00345AE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AE6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2094</Words>
  <Characters>11520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