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77150CAF" w:rsidR="0085775B" w:rsidRDefault="0085775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insère dans la table « jour » tous les jours ouvrés de la semaine, à raison d’un jour par ligne. Ces jours sont sstokés dans la colonne « libelle » et la colonne « id » est auto-incrémentée.</w:t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1EEFE" w14:textId="77777777" w:rsidR="008F109F" w:rsidRDefault="008F109F" w:rsidP="00307692">
      <w:r>
        <w:separator/>
      </w:r>
    </w:p>
  </w:endnote>
  <w:endnote w:type="continuationSeparator" w:id="0">
    <w:p w14:paraId="2178E3EE" w14:textId="77777777" w:rsidR="008F109F" w:rsidRDefault="008F109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80721" w14:textId="77777777" w:rsidR="008F109F" w:rsidRDefault="008F109F" w:rsidP="00307692">
      <w:r>
        <w:separator/>
      </w:r>
    </w:p>
  </w:footnote>
  <w:footnote w:type="continuationSeparator" w:id="0">
    <w:p w14:paraId="36F53F7B" w14:textId="77777777" w:rsidR="008F109F" w:rsidRDefault="008F109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109F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2124</Words>
  <Characters>11685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