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BA1" w14:textId="7EEDC74A" w:rsidR="00932F79" w:rsidRDefault="00932F7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ajoute une colonne de « table_2 » qui se nomme « Abscence ». On institue ensuite un tableau que l’on nomme « table_3 » avec windows builder. Enfin, on lui ajoute une colonne appelée « Sancion » </w:t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1C411" w14:textId="77777777" w:rsidR="002F5257" w:rsidRDefault="002F5257" w:rsidP="00307692">
      <w:r>
        <w:separator/>
      </w:r>
    </w:p>
  </w:endnote>
  <w:endnote w:type="continuationSeparator" w:id="0">
    <w:p w14:paraId="3283220A" w14:textId="77777777" w:rsidR="002F5257" w:rsidRDefault="002F525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38DE2" w14:textId="77777777" w:rsidR="002F5257" w:rsidRDefault="002F5257" w:rsidP="00307692">
      <w:r>
        <w:separator/>
      </w:r>
    </w:p>
  </w:footnote>
  <w:footnote w:type="continuationSeparator" w:id="0">
    <w:p w14:paraId="47C9E932" w14:textId="77777777" w:rsidR="002F5257" w:rsidRDefault="002F525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25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1551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