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quatre colonnes au sein de la base de données. Une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273070" w14:textId="77777777" w:rsidR="0037318F" w:rsidRDefault="0037318F" w:rsidP="00307692">
      <w:r>
        <w:separator/>
      </w:r>
    </w:p>
  </w:endnote>
  <w:endnote w:type="continuationSeparator" w:id="0">
    <w:p w14:paraId="2BF3B3DB" w14:textId="77777777" w:rsidR="0037318F" w:rsidRDefault="0037318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A9D8F" w14:textId="77777777" w:rsidR="0037318F" w:rsidRDefault="0037318F" w:rsidP="00307692">
      <w:r>
        <w:separator/>
      </w:r>
    </w:p>
  </w:footnote>
  <w:footnote w:type="continuationSeparator" w:id="0">
    <w:p w14:paraId="4FCB656E" w14:textId="77777777" w:rsidR="0037318F" w:rsidRDefault="0037318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318F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2639</Words>
  <Characters>14515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