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7CA59DF" w:rsidR="008A1464" w:rsidRDefault="008A1464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On déclare la classe « Eleves » qui hérite de « Global ». On déclare ensuite les attributs Shell (de type shell et en accès protégé)</w:t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88385" w14:textId="77777777" w:rsidR="00D42415" w:rsidRDefault="00D42415" w:rsidP="00307692">
      <w:r>
        <w:separator/>
      </w:r>
    </w:p>
  </w:endnote>
  <w:endnote w:type="continuationSeparator" w:id="0">
    <w:p w14:paraId="0119CBA3" w14:textId="77777777" w:rsidR="00D42415" w:rsidRDefault="00D4241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8D4A6B" w14:textId="77777777" w:rsidR="00D42415" w:rsidRDefault="00D42415" w:rsidP="00307692">
      <w:r>
        <w:separator/>
      </w:r>
    </w:p>
  </w:footnote>
  <w:footnote w:type="continuationSeparator" w:id="0">
    <w:p w14:paraId="27387873" w14:textId="77777777" w:rsidR="00D42415" w:rsidRDefault="00D4241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2415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1272</Words>
  <Characters>6998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2021-03-22T18:52:00Z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