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Default="00CB5E6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 déclare la classe principale en accès qui public qui a le nom « Database » . Puis, on déclare une métho typée « Connection » : « DbConnection » et en accès public.</w:t>
      </w:r>
      <w:r w:rsidR="002B27B6">
        <w:rPr>
          <w:rFonts w:ascii="Segoe UI Black" w:hAnsi="Segoe UI Black" w:cs="Segoe UI Semibold"/>
          <w:color w:val="AFCA0B"/>
          <w:sz w:val="44"/>
          <w:szCs w:val="44"/>
        </w:rPr>
        <w:t xml:space="preserve"> Ensuite, on renseigne les premières formalités nécéssaires à la connexion à la bdd. En l’occurrence, son chemin d’accès et les identifiants avec lesquels on uttilise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Une fois que les informations préliminaires ont étés mises en bonne et due forme</w:t>
      </w:r>
      <w:r w:rsidR="00683F0A">
        <w:rPr>
          <w:rFonts w:ascii="Segoe UI Black" w:hAnsi="Segoe UI Black" w:cs="Segoe UI Semibold"/>
          <w:color w:val="AFCA0B"/>
          <w:sz w:val="44"/>
          <w:szCs w:val="44"/>
        </w:rPr>
        <w:t>, on exécute la requete en l’envoyant</w:t>
      </w:r>
      <w:r w:rsidR="002C5706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Default="002C570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Toutefois, on met une gestion d’erreur, dans le cas ou la requete précédente n’est pas concluente, et on informe l’uttilisateur que la bdd n’a pas pu etre contactée.</w:t>
      </w:r>
      <w:r w:rsidR="00B94B22">
        <w:rPr>
          <w:rFonts w:ascii="Segoe UI Black" w:hAnsi="Segoe UI Black" w:cs="Segoe UI Semibold"/>
          <w:color w:val="AFCA0B"/>
          <w:sz w:val="44"/>
          <w:szCs w:val="44"/>
        </w:rPr>
        <w:t xml:space="preserve"> Dans tout les cas, à la fin de la méthode, on ne retourne rien.</w:t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70123" w14:textId="77777777" w:rsidR="006235B5" w:rsidRDefault="006235B5" w:rsidP="00307692">
      <w:r>
        <w:separator/>
      </w:r>
    </w:p>
  </w:endnote>
  <w:endnote w:type="continuationSeparator" w:id="0">
    <w:p w14:paraId="332F9831" w14:textId="77777777" w:rsidR="006235B5" w:rsidRDefault="006235B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F64D0" w14:textId="77777777" w:rsidR="006235B5" w:rsidRDefault="006235B5" w:rsidP="00307692">
      <w:r>
        <w:separator/>
      </w:r>
    </w:p>
  </w:footnote>
  <w:footnote w:type="continuationSeparator" w:id="0">
    <w:p w14:paraId="3DD435A5" w14:textId="77777777" w:rsidR="006235B5" w:rsidRDefault="006235B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5B5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2969</Words>
  <Characters>16335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