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400D8B22"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7"/>
      <w:headerReference w:type="default" r:id="rId18"/>
      <w:footerReference w:type="even" r:id="rId19"/>
      <w:footerReference w:type="default" r:id="rId20"/>
      <w:headerReference w:type="first" r:id="rId21"/>
      <w:footerReference w:type="first" r:id="rId22"/>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6FA99" w14:textId="77777777" w:rsidR="007F0B4A" w:rsidRDefault="007F0B4A" w:rsidP="00307692">
      <w:r>
        <w:separator/>
      </w:r>
    </w:p>
  </w:endnote>
  <w:endnote w:type="continuationSeparator" w:id="0">
    <w:p w14:paraId="04863460" w14:textId="77777777" w:rsidR="007F0B4A" w:rsidRDefault="007F0B4A"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1BEC4" w14:textId="77777777" w:rsidR="007F0B4A" w:rsidRDefault="007F0B4A" w:rsidP="00307692">
      <w:r>
        <w:separator/>
      </w:r>
    </w:p>
  </w:footnote>
  <w:footnote w:type="continuationSeparator" w:id="0">
    <w:p w14:paraId="307928F4" w14:textId="77777777" w:rsidR="007F0B4A" w:rsidRDefault="007F0B4A"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467F9"/>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0B4A"/>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7</Pages>
  <Words>402</Words>
  <Characters>2213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