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7217E341" w:rsidR="004969E8" w:rsidRDefault="004969E8" w:rsidP="007D4249">
      <w:pPr>
        <w:spacing w:line="259" w:lineRule="auto"/>
        <w:jc w:val="center"/>
        <w:rPr>
          <w:rFonts w:ascii="Comic Sans MS" w:hAnsi="Comic Sans MS" w:cs="Segoe UI Semibold"/>
          <w:b/>
          <w:color w:val="000000" w:themeColor="text1"/>
        </w:rPr>
      </w:pPr>
      <w:r>
        <w:rPr>
          <w:rFonts w:ascii="Comic Sans MS" w:hAnsi="Comic Sans MS" w:cs="Segoe UI Semibold"/>
          <w:b/>
          <w:color w:val="000000" w:themeColor="text1"/>
        </w:rPr>
        <w:t>Après la Connexion et l’éventuel constat d’une habilitation administrateur, l’utilisateur tombe sur cette page. L’administrateur voit s’afficher la liste des noms des élèves.</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bookmarkStart w:id="0" w:name="_GoBack"/>
      <w:bookmarkEnd w:id="0"/>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6"/>
      <w:headerReference w:type="default" r:id="rId17"/>
      <w:footerReference w:type="even" r:id="rId18"/>
      <w:footerReference w:type="default" r:id="rId19"/>
      <w:headerReference w:type="first" r:id="rId20"/>
      <w:footerReference w:type="first" r:id="rId21"/>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1B208" w14:textId="77777777" w:rsidR="0067604C" w:rsidRDefault="0067604C" w:rsidP="00307692">
      <w:r>
        <w:separator/>
      </w:r>
    </w:p>
  </w:endnote>
  <w:endnote w:type="continuationSeparator" w:id="0">
    <w:p w14:paraId="7A54724B" w14:textId="77777777" w:rsidR="0067604C" w:rsidRDefault="0067604C"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9284C" w14:textId="77777777" w:rsidR="0067604C" w:rsidRDefault="0067604C" w:rsidP="00307692">
      <w:r>
        <w:separator/>
      </w:r>
    </w:p>
  </w:footnote>
  <w:footnote w:type="continuationSeparator" w:id="0">
    <w:p w14:paraId="3B575B08" w14:textId="77777777" w:rsidR="0067604C" w:rsidRDefault="0067604C"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04C"/>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6</Pages>
  <Words>335</Words>
  <Characters>1844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