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51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8"/>
        </w:rPr>
        <w:t>MACHINERY ENGINEER  |  ROTATING EQUIPMENT, CONTROLS &amp; RELIABILITY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3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3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23"/>
        </w:rPr>
        <w:t>BOSIET with CA-EBS (valid to 2029)  |  Offshore Safety Permit (OSP)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24"/>
        </w:rPr>
        <w:t>10+ years' experience</w:t>
      </w:r>
      <w:r>
        <w:rPr>
          <w:rFonts w:ascii="Calibri" w:hAnsi="Calibri"/>
          <w:b w:val="0"/>
          <w:i w:val="0"/>
          <w:color w:val="1A1A1A"/>
          <w:sz w:val="24"/>
        </w:rPr>
        <w:t xml:space="preserve"> in machinery and rotating equipment engineering across offshore gas processing, NGL trains, associated gas gathering and gas-fired power generation; currently the </w:t>
      </w:r>
      <w:r>
        <w:rPr>
          <w:rFonts w:ascii="Calibri" w:hAnsi="Calibri"/>
          <w:b/>
          <w:i w:val="0"/>
          <w:color w:val="1A1A1A"/>
          <w:sz w:val="24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24"/>
        </w:rPr>
        <w:t xml:space="preserve">, the largest offshore gas processing facility in the Seplat/JV portfolio and part of the former </w:t>
      </w:r>
      <w:r>
        <w:rPr>
          <w:rFonts w:ascii="Calibri" w:hAnsi="Calibri"/>
          <w:b/>
          <w:i w:val="0"/>
          <w:color w:val="1A1A1A"/>
          <w:sz w:val="24"/>
        </w:rPr>
        <w:t>Mobil Producing Nigeria</w:t>
      </w:r>
      <w:r>
        <w:rPr>
          <w:rFonts w:ascii="Calibri" w:hAnsi="Calibri"/>
          <w:b w:val="0"/>
          <w:i w:val="0"/>
          <w:color w:val="1A1A1A"/>
          <w:sz w:val="24"/>
        </w:rPr>
        <w:t xml:space="preserve"> asset base, whose standards and work processes remain ExxonMobil-legacy. Safeguards </w:t>
      </w:r>
      <w:r>
        <w:rPr>
          <w:rFonts w:ascii="Calibri" w:hAnsi="Calibri"/>
          <w:b/>
          <w:i w:val="0"/>
          <w:color w:val="1A1A1A"/>
          <w:sz w:val="24"/>
        </w:rPr>
        <w:t>machinery reliability and availability</w:t>
      </w:r>
      <w:r>
        <w:rPr>
          <w:rFonts w:ascii="Calibri" w:hAnsi="Calibri"/>
          <w:b w:val="0"/>
          <w:i w:val="0"/>
          <w:color w:val="1A1A1A"/>
          <w:sz w:val="24"/>
        </w:rPr>
        <w:t xml:space="preserve"> through daily review of equipment performance: vibration, lube-oil analysis, compressor maps, turbine parameters and pump curves, via SolarInsight, Seeq and PI XHQ. </w:t>
      </w:r>
      <w:r>
        <w:rPr>
          <w:rFonts w:ascii="Calibri" w:hAnsi="Calibri"/>
          <w:b/>
          <w:i w:val="0"/>
          <w:color w:val="1A1A1A"/>
          <w:sz w:val="24"/>
        </w:rPr>
        <w:t>Technical lead for machinery troubleshooting and recovery, including root cause analysis of complex failures</w:t>
      </w:r>
      <w:r>
        <w:rPr>
          <w:rFonts w:ascii="Calibri" w:hAnsi="Calibri"/>
          <w:b w:val="0"/>
          <w:i w:val="0"/>
          <w:color w:val="1A1A1A"/>
          <w:sz w:val="24"/>
        </w:rPr>
        <w:t xml:space="preserve">; screens opportunity and exposure risk and contributes to detailed risk assessments; reviews equipment and system changes, specifications and deviations; and supports FAT/SAT, commissioning and start-up. Experienced with </w:t>
      </w:r>
      <w:r>
        <w:rPr>
          <w:rFonts w:ascii="Calibri" w:hAnsi="Calibri"/>
          <w:b/>
          <w:i w:val="0"/>
          <w:color w:val="1A1A1A"/>
          <w:sz w:val="24"/>
        </w:rPr>
        <w:t>machinery controls and protection systems</w:t>
      </w:r>
      <w:r>
        <w:rPr>
          <w:rFonts w:ascii="Calibri" w:hAnsi="Calibri"/>
          <w:b w:val="0"/>
          <w:i w:val="0"/>
          <w:color w:val="1A1A1A"/>
          <w:sz w:val="24"/>
        </w:rPr>
        <w:t xml:space="preserve"> (Honeywell CCC anti-surge), and interfaces daily with operations, maintenance, inspection and OEMs.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Projects, Brownfield &amp; Commissioning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Major overhaul planning and execution: gas and steam turbines, compressors, pumps, engines • Brownfield verifications • Review and update of specifications • Engineering surveillance (QA/QC) • Technical review of vendor documents, data sheets and deviations • Machinery FAT/SAT witnessing • Commissioning and start-up support • PSSR enhancement (off-skid activity capture)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3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23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23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24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24"/>
        </w:rPr>
        <w:t xml:space="preserve">, the </w:t>
      </w:r>
      <w:r>
        <w:rPr>
          <w:rFonts w:ascii="Calibri" w:hAnsi="Calibri"/>
          <w:b/>
          <w:i w:val="0"/>
          <w:color w:val="1A1A1A"/>
          <w:sz w:val="24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24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4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Run periodic </w:t>
      </w:r>
      <w:r>
        <w:rPr>
          <w:rFonts w:ascii="Calibri" w:hAnsi="Calibri"/>
          <w:b/>
          <w:i w:val="0"/>
          <w:color w:val="1A1A1A"/>
          <w:sz w:val="24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24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Exploit digital solutions (</w:t>
      </w:r>
      <w:r>
        <w:rPr>
          <w:rFonts w:ascii="Calibri" w:hAnsi="Calibri"/>
          <w:b/>
          <w:i w:val="0"/>
          <w:color w:val="1A1A1A"/>
          <w:sz w:val="24"/>
        </w:rPr>
        <w:t>SolarInsight, Seeq, PI XHQ</w:t>
      </w:r>
      <w:r>
        <w:rPr>
          <w:rFonts w:ascii="Calibri" w:hAnsi="Calibri"/>
          <w:b w:val="0"/>
          <w:i w:val="0"/>
          <w:color w:val="1A1A1A"/>
          <w:sz w:val="24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24"/>
        </w:rPr>
        <w:t>Asset Engineer coverage</w:t>
      </w:r>
      <w:r>
        <w:rPr>
          <w:rFonts w:ascii="Calibri" w:hAnsi="Calibri"/>
          <w:b w:val="0"/>
          <w:i w:val="0"/>
          <w:color w:val="1A1A1A"/>
          <w:sz w:val="24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4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24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24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24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24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24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24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24"/>
        </w:rPr>
        <w:t xml:space="preserve"> RCFA plus an </w:t>
      </w:r>
      <w:r>
        <w:rPr>
          <w:rFonts w:ascii="Calibri" w:hAnsi="Calibri"/>
          <w:b/>
          <w:i w:val="0"/>
          <w:color w:val="1A1A1A"/>
          <w:sz w:val="24"/>
        </w:rPr>
        <w:t>API 610</w:t>
      </w:r>
      <w:r>
        <w:rPr>
          <w:rFonts w:ascii="Calibri" w:hAnsi="Calibri"/>
          <w:b w:val="0"/>
          <w:i w:val="0"/>
          <w:color w:val="1A1A1A"/>
          <w:sz w:val="24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24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24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24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24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24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24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24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Contribute to </w:t>
      </w:r>
      <w:r>
        <w:rPr>
          <w:rFonts w:ascii="Calibri" w:hAnsi="Calibri"/>
          <w:b/>
          <w:i w:val="0"/>
          <w:color w:val="1A1A1A"/>
          <w:sz w:val="24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24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24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24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24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24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24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24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Steward </w:t>
      </w:r>
      <w:r>
        <w:rPr>
          <w:rFonts w:ascii="Calibri" w:hAnsi="Calibri"/>
          <w:b/>
          <w:i w:val="0"/>
          <w:color w:val="1A1A1A"/>
          <w:sz w:val="24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24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24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24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3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Led </w:t>
      </w:r>
      <w:r>
        <w:rPr>
          <w:rFonts w:ascii="Calibri" w:hAnsi="Calibri"/>
          <w:b/>
          <w:i w:val="0"/>
          <w:color w:val="1A1A1A"/>
          <w:sz w:val="24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24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Supervised </w:t>
      </w:r>
      <w:r>
        <w:rPr>
          <w:rFonts w:ascii="Calibri" w:hAnsi="Calibri"/>
          <w:b/>
          <w:i w:val="0"/>
          <w:color w:val="1A1A1A"/>
          <w:sz w:val="24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24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Managed OEM </w:t>
      </w:r>
      <w:r>
        <w:rPr>
          <w:rFonts w:ascii="Calibri" w:hAnsi="Calibri"/>
          <w:b/>
          <w:i w:val="0"/>
          <w:color w:val="1A1A1A"/>
          <w:sz w:val="24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24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Seconded as </w:t>
      </w:r>
      <w:r>
        <w:rPr>
          <w:rFonts w:ascii="Calibri" w:hAnsi="Calibri"/>
          <w:b/>
          <w:i w:val="0"/>
          <w:color w:val="1A1A1A"/>
          <w:sz w:val="24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24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24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24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24"/>
        </w:rPr>
        <w:t>more than 24 hours</w:t>
      </w:r>
      <w:r>
        <w:rPr>
          <w:rFonts w:ascii="Calibri" w:hAnsi="Calibri"/>
          <w:b w:val="0"/>
          <w:i w:val="0"/>
          <w:color w:val="1A1A1A"/>
          <w:sz w:val="24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24"/>
        </w:rPr>
        <w:t>Safety Sentinel</w:t>
      </w:r>
      <w:r>
        <w:rPr>
          <w:rFonts w:ascii="Calibri" w:hAnsi="Calibri"/>
          <w:b w:val="0"/>
          <w:i w:val="0"/>
          <w:color w:val="1A1A1A"/>
          <w:sz w:val="24"/>
        </w:rPr>
        <w:t xml:space="preserve"> and </w:t>
      </w:r>
      <w:r>
        <w:rPr>
          <w:rFonts w:ascii="Calibri" w:hAnsi="Calibri"/>
          <w:b/>
          <w:i w:val="0"/>
          <w:color w:val="1A1A1A"/>
          <w:sz w:val="24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24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3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Led major </w:t>
      </w:r>
      <w:r>
        <w:rPr>
          <w:rFonts w:ascii="Calibri" w:hAnsi="Calibri"/>
          <w:b/>
          <w:i w:val="0"/>
          <w:color w:val="1A1A1A"/>
          <w:sz w:val="24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24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24"/>
        </w:rPr>
        <w:t>RCA investigations</w:t>
      </w:r>
      <w:r>
        <w:rPr>
          <w:rFonts w:ascii="Calibri" w:hAnsi="Calibri"/>
          <w:b w:val="0"/>
          <w:i w:val="0"/>
          <w:color w:val="1A1A1A"/>
          <w:sz w:val="24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3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24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24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23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7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23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2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7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7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Chairman's Recognition for Innovation, Sahara Group, 2019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24"/>
        </w:rPr>
        <w:t>References:</w:t>
      </w:r>
      <w:r>
        <w:rPr>
          <w:rFonts w:ascii="Calibri" w:hAnsi="Calibri"/>
          <w:b w:val="0"/>
          <w:i w:val="0"/>
          <w:color w:val="1A1A1A"/>
          <w:sz w:val="24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21"/>
      </w:rPr>
      <w:t>Chukwuemeka Osmund Azodo,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