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ROTATING EQUIPMENT / MACHINERY RELIABILITY ENGINEER  |  OIL, GAS &amp; LNG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 xml:space="preserve">BOSIET with CA-EBS (valid to 2029)  |  Offshore Safety Permit (OSP)  |  </w:t>
      </w:r>
      <w:r>
        <w:rPr>
          <w:rFonts w:ascii="Calibri" w:hAnsi="Calibri"/>
          <w:b/>
          <w:i w:val="0"/>
          <w:color w:val="3F4A54"/>
          <w:sz w:val="17"/>
        </w:rPr>
        <w:t>Available for immediate international mobilisation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7"/>
        </w:rPr>
        <w:t>10+ years' experience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in rotating equipment engineering across offshore gas processing, NGL trains, associated gas gathering and gas-fired power generation; currently the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largest offshore gas processing facility in the Seplat/JV portfolio. Day-to-day accountability for the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 xml:space="preserve">: HP/LP centrifugal gas compressors (5,500+ psi), turbo-expanders, industrial gas turbines, cryogenic and API 610 pumps, diesel engines and lubrication/seal systems, using vibration and lube-oil analytics, performance/compressor maps and digital platforms (SolarInsight, Seeq, PI XHQ). Works shoulder-to-shoulder with operations, maintenance, process, instrumentation and inspection teams to </w:t>
      </w:r>
      <w:r>
        <w:rPr>
          <w:rFonts w:ascii="Calibri" w:hAnsi="Calibri"/>
          <w:b/>
          <w:i w:val="0"/>
          <w:color w:val="1A1A1A"/>
          <w:sz w:val="17"/>
        </w:rPr>
        <w:t>diagnose machinery problems, optimise intervention scope and duration, and recommend engineered resolutions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. Leads and contributes to </w:t>
      </w:r>
      <w:r>
        <w:rPr>
          <w:rFonts w:ascii="Calibri" w:hAnsi="Calibri"/>
          <w:b/>
          <w:i w:val="0"/>
          <w:color w:val="1A1A1A"/>
          <w:sz w:val="17"/>
        </w:rPr>
        <w:t>RCFA, risk assessments and technical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; reviews MOCs and project documentation for reliability and operability; and supports </w:t>
      </w:r>
      <w:r>
        <w:rPr>
          <w:rFonts w:ascii="Calibri" w:hAnsi="Calibri"/>
          <w:b/>
          <w:i w:val="0"/>
          <w:color w:val="1A1A1A"/>
          <w:sz w:val="17"/>
        </w:rPr>
        <w:t>FAT/SAT, commissioning and start-up</w:t>
      </w:r>
      <w:r>
        <w:rPr>
          <w:rFonts w:ascii="Calibri" w:hAnsi="Calibri"/>
          <w:b w:val="0"/>
          <w:i w:val="0"/>
          <w:color w:val="1A1A1A"/>
          <w:sz w:val="17"/>
        </w:rPr>
        <w:t xml:space="preserve"> of new machinery. Established liaison with OEMs and vendors (Solar Turbines, GE, Siemens and Honeywell CCC). Strong working knowledge of </w:t>
      </w:r>
      <w:r>
        <w:rPr>
          <w:rFonts w:ascii="Calibri" w:hAnsi="Calibri"/>
          <w:b/>
          <w:i w:val="0"/>
          <w:color w:val="1A1A1A"/>
          <w:sz w:val="17"/>
        </w:rPr>
        <w:t>API 610, API 614, API 617, ISO 10816/20816 and ASME PTC-22</w:t>
      </w:r>
      <w:r>
        <w:rPr>
          <w:rFonts w:ascii="Calibri" w:hAnsi="Calibri"/>
          <w:b w:val="0"/>
          <w:i w:val="0"/>
          <w:color w:val="1A1A1A"/>
          <w:sz w:val="17"/>
        </w:rPr>
        <w:t>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16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Projects, Overhauls &amp; Commissioning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Major overhaul planning and execution: gas and steam turbines, compressors, pumps, engines • Technical review of vendor/engineering documents, data sheets and deviations • Machinery FAT/SAT witnessing • Pre-commissioning, commissioning and start-up support • PSSR enhancement (off-skid activity capture) and execution • Brownfield modification and capacity-expansion support (120 → 240 MMSCFD)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II,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Ltd,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</w:t>
      </w:r>
      <w:r>
        <w:rPr>
          <w:rFonts w:ascii="Calibri" w:hAnsi="Calibri"/>
          <w:b/>
          <w:i w:val="0"/>
          <w:color w:val="1A1A1A"/>
          <w:sz w:val="17"/>
        </w:rPr>
        <w:t>key enabler of Seplat's 120 → 240 MMSCFD sales gas ambition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NGL export,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Run periodic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>: review vibration spectra and trends, lube-oil analysis results, compressor performance maps, turbine parameters and pump deliverability curves,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Exploit digital solutions (</w:t>
      </w:r>
      <w:r>
        <w:rPr>
          <w:rFonts w:ascii="Calibri" w:hAnsi="Calibri"/>
          <w:b/>
          <w:i w:val="0"/>
          <w:color w:val="1A1A1A"/>
          <w:sz w:val="17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7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Act as the discipline reference point for other engineering and non-engineering functions: process, instrumentation/controls, inspection, operations, planning, procurement and finance,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7"/>
        </w:rPr>
        <w:t>Asset Engineer coverage</w:t>
      </w:r>
      <w:r>
        <w:rPr>
          <w:rFonts w:ascii="Calibri" w:hAnsi="Calibri"/>
          <w:b w:val="0"/>
          <w:i w:val="0"/>
          <w:color w:val="1A1A1A"/>
          <w:sz w:val="17"/>
        </w:rPr>
        <w:t>, extending beyond machinery into production optimisation, process stabilisation and non-machinery plant systems,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multi-discipline RCA with OEM and in-house teams: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7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17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17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17"/>
        </w:rPr>
        <w:t xml:space="preserve"> compared oil signatures across the holding tank, reservoir, pre/post-filtration points and overhead tanks to isolate the source. Fill-and-drain gave no improvement, so escalated to manhole entry and pulse jetting,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RCFA plus an </w:t>
      </w:r>
      <w:r>
        <w:rPr>
          <w:rFonts w:ascii="Calibri" w:hAnsi="Calibri"/>
          <w:b/>
          <w:i w:val="0"/>
          <w:color w:val="1A1A1A"/>
          <w:sz w:val="17"/>
        </w:rPr>
        <w:t>API 610</w:t>
      </w:r>
      <w:r>
        <w:rPr>
          <w:rFonts w:ascii="Calibri" w:hAnsi="Calibri"/>
          <w:b w:val="0"/>
          <w:i w:val="0"/>
          <w:color w:val="1A1A1A"/>
          <w:sz w:val="17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7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17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several offshore platforms and onshore plants: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Contribute to </w:t>
      </w:r>
      <w:r>
        <w:rPr>
          <w:rFonts w:ascii="Calibri" w:hAnsi="Calibri"/>
          <w:b/>
          <w:i w:val="0"/>
          <w:color w:val="1A1A1A"/>
          <w:sz w:val="17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7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7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Strengthened the facility </w:t>
      </w:r>
      <w:r>
        <w:rPr>
          <w:rFonts w:ascii="Calibri" w:hAnsi="Calibri"/>
          <w:b/>
          <w:i w:val="0"/>
          <w:color w:val="1A1A1A"/>
          <w:sz w:val="17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7"/>
        </w:rPr>
        <w:t xml:space="preserve"> process to capture previously uncaptured off-skid maintenance activities, and now tailor it to each bundle change-out, which typically carries non-standard off-skid scope, verifying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7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7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Steward </w:t>
      </w:r>
      <w:r>
        <w:rPr>
          <w:rFonts w:ascii="Calibri" w:hAnsi="Calibri"/>
          <w:b/>
          <w:i w:val="0"/>
          <w:color w:val="1A1A1A"/>
          <w:sz w:val="17"/>
        </w:rPr>
        <w:t>safe and timely execution of the mechanical scope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120 → 240 MMSCFD expansion: HP 1st-stage wet seal change-out, compressor reconfiguration for export through the 1st stage, decommissioning of the 2nd-stage compressor and associated loops, and gas generator change-out with associated off-skid activities.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Maintain an appreciable record of identifying and following up on safety hazards under Seplat's </w:t>
      </w:r>
      <w:r>
        <w:rPr>
          <w:rFonts w:ascii="Calibri" w:hAnsi="Calibri"/>
          <w:b/>
          <w:i w:val="0"/>
          <w:color w:val="1A1A1A"/>
          <w:sz w:val="17"/>
        </w:rPr>
        <w:t>Hazard Identification &amp; Control Scheme (SHICS)</w:t>
      </w:r>
      <w:r>
        <w:rPr>
          <w:rFonts w:ascii="Calibri" w:hAnsi="Calibri"/>
          <w:b w:val="0"/>
          <w:i w:val="0"/>
          <w:color w:val="1A1A1A"/>
          <w:sz w:val="17"/>
        </w:rPr>
        <w:t>, using the relevant digital reporting tools, with consistent commendation on several occasions.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Group,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</w:t>
      </w:r>
      <w:r>
        <w:rPr>
          <w:rFonts w:ascii="Calibri" w:hAnsi="Calibri"/>
          <w:b/>
          <w:i w:val="0"/>
          <w:color w:val="1A1A1A"/>
          <w:sz w:val="17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7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Supervised </w:t>
      </w:r>
      <w:r>
        <w:rPr>
          <w:rFonts w:ascii="Calibri" w:hAnsi="Calibri"/>
          <w:b/>
          <w:i w:val="0"/>
          <w:color w:val="1A1A1A"/>
          <w:sz w:val="17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7"/>
        </w:rPr>
        <w:t>: power output, heat rate and thermal efficiency verification,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Managed OEM </w:t>
      </w:r>
      <w:r>
        <w:rPr>
          <w:rFonts w:ascii="Calibri" w:hAnsi="Calibri"/>
          <w:b/>
          <w:i w:val="0"/>
          <w:color w:val="1A1A1A"/>
          <w:sz w:val="17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Seconded as </w:t>
      </w:r>
      <w:r>
        <w:rPr>
          <w:rFonts w:ascii="Calibri" w:hAnsi="Calibri"/>
          <w:b/>
          <w:i w:val="0"/>
          <w:color w:val="1A1A1A"/>
          <w:sz w:val="17"/>
        </w:rPr>
        <w:t>Lead Mechanical/Reliability Engineer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restart of the Imo River Associated Gas Gathering (AGG) plant, an upstream associated-gas facility, after roughly two years of prolonged downtime: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7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7"/>
        </w:rPr>
        <w:t>more than 24 hours</w:t>
      </w:r>
      <w:r>
        <w:rPr>
          <w:rFonts w:ascii="Calibri" w:hAnsi="Calibri"/>
          <w:b w:val="0"/>
          <w:i w:val="0"/>
          <w:color w:val="1A1A1A"/>
          <w:sz w:val="17"/>
        </w:rPr>
        <w:t xml:space="preserve"> per event through procedure and scope optimisation.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Recognised for safety leadership: </w:t>
      </w:r>
      <w:r>
        <w:rPr>
          <w:rFonts w:ascii="Calibri" w:hAnsi="Calibri"/>
          <w:b/>
          <w:i w:val="0"/>
          <w:color w:val="1A1A1A"/>
          <w:sz w:val="17"/>
        </w:rPr>
        <w:t>Safety Sentinel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</w:t>
      </w:r>
      <w:r>
        <w:rPr>
          <w:rFonts w:ascii="Calibri" w:hAnsi="Calibri"/>
          <w:b/>
          <w:i w:val="0"/>
          <w:color w:val="1A1A1A"/>
          <w:sz w:val="17"/>
        </w:rPr>
        <w:t>Safety Advocate of the Year</w:t>
      </w:r>
      <w:r>
        <w:rPr>
          <w:rFonts w:ascii="Calibri" w:hAnsi="Calibri"/>
          <w:b w:val="0"/>
          <w:i w:val="0"/>
          <w:color w:val="1A1A1A"/>
          <w:sz w:val="17"/>
        </w:rPr>
        <w:t xml:space="preserve"> awards (2023) for consistent hazard identification and follow-up.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major </w:t>
      </w:r>
      <w:r>
        <w:rPr>
          <w:rFonts w:ascii="Calibri" w:hAnsi="Calibri"/>
          <w:b/>
          <w:i w:val="0"/>
          <w:color w:val="1A1A1A"/>
          <w:sz w:val="17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7"/>
        </w:rPr>
        <w:t>: planning, clearance verification, rotor and bearing inspection, alignment and re-commissioning,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7"/>
        </w:rPr>
        <w:t>RCA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Applied condition monitoring: </w:t>
      </w:r>
      <w:r>
        <w:rPr>
          <w:rFonts w:ascii="Calibri" w:hAnsi="Calibri"/>
          <w:b/>
          <w:i w:val="0"/>
          <w:color w:val="1A1A1A"/>
          <w:sz w:val="17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7"/>
        </w:rPr>
        <w:t>,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Group,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(Intern),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Maintained directional drilling motors and auto-torque equipment and performed QA/QC inspection of mud motors prior to rig deployment,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Trainee,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(Thermo-Fluids),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Engineering,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PORTFOLIO: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Turbo-expander / booster-compressor trains • Cryogenic pumps: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Vibration Analysis Category I,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Reliability Engineering Principles,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Performance,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Mechanical Maintenance,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HSE Level I, II &amp; III (OSHA),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QHSE, Risk &amp; Sustainability Mgmt, IE Safetainability,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AI Advanced Applied Programme, Digital Regenesys, 2026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IBM AI Engineering, 2023 &amp; Generative AI and Agents, Johns Hopkins, 2026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Advocate of the Year,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Sentinel Award,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1st Runner-Up,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Chairman's Recognition for Innovation, Sahara Group, 2019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PERSONAL DETAILS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Date of birth: 25 September 1988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Nationality: Nigerian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Passport: valid, on request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17"/>
        </w:rPr>
        <w:t>Availability:</w:t>
      </w:r>
      <w:r>
        <w:rPr>
          <w:rFonts w:ascii="Calibri" w:hAnsi="Calibri"/>
          <w:b w:val="0"/>
          <w:i w:val="0"/>
          <w:color w:val="1A1A1A"/>
          <w:sz w:val="17"/>
        </w:rPr>
        <w:t xml:space="preserve"> immediate mobilisation for international assignment.   </w:t>
      </w:r>
      <w:r>
        <w:rPr>
          <w:rFonts w:ascii="Calibri" w:hAnsi="Calibri"/>
          <w:b/>
          <w:i w:val="0"/>
          <w:color w:val="1A1A1A"/>
          <w:sz w:val="17"/>
        </w:rPr>
        <w:t>References:</w:t>
      </w:r>
      <w:r>
        <w:rPr>
          <w:rFonts w:ascii="Calibri" w:hAnsi="Calibri"/>
          <w:b w:val="0"/>
          <w:i w:val="0"/>
          <w:color w:val="1A1A1A"/>
          <w:sz w:val="17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Azodo, Rotating Equipment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