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SENIOR MACHINERY ENGINEER  |  TURBOMACHINERY RELIABILITY &amp; INTEGRITY  |  OIL &amp; GAS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120" w:after="10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22 October 2026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Hiring Team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Seplat Energy Plc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Lagos, Nigeria</w:t>
      </w:r>
    </w:p>
    <w:p>
      <w:pPr>
        <w:spacing w:before="120" w:after="100" w:line="240" w:lineRule="auto"/>
      </w:pPr>
      <w:r>
        <w:rPr>
          <w:rFonts w:ascii="Calibri" w:hAnsi="Calibri"/>
          <w:b/>
          <w:i w:val="0"/>
          <w:color w:val="12304F"/>
          <w:sz w:val="19"/>
        </w:rPr>
        <w:t>Application: Senior Machinery Engineer (Requisition 762)</w:t>
      </w:r>
    </w:p>
    <w:p>
      <w:pPr>
        <w:spacing w:before="0" w:after="10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Dear Hiring Team,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I am applying for the Senior Machinery Engineer position (Requisition 762). I am a mechanical engineer with 12 years in turbomachinery and rotating/packaged equipment reliability, an ASQ Certified Reliability Engineer and a member of several engineering bodies. I am currently the Machinery Engineer for the Oso Gas Hub, the key enabler of Seplat's 120 → 240 MMSCFD sales gas ambition, and this role is a natural extension of the discipline ownership I already exercise across these assets.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Equipment-health surveillance and troubleshooting are the substance of my current role. I review vibration spectra and trends, lube-oil analysis, compressor performance maps, turbine parameters and pump curves across HP and LP centrifugal compressors, turbo-expanders, gas turbines, and cryogenic and API 610 pumps, through SolarInsight, Seeq and PI XHQ, converting degradation signals into owned interventions with operations, maintenance and asset management.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When a bundle change-out left a 130 MMSCFD compressor with severe vibration, I led the RCA with the OEM and in-house teams, mapped the contamination paths and ran sectioned borescope inspection of the cooler bundles; the cause proved to be debris-induced rotor unbalance, and piping cleaning, lube-oil flushing and re-inspection returned the machine to service within ISO vibration limits. A separate fleet-wide RCFA (fifteen years of records, using pooled failure-rate and Crow-AMSAA reliability-growth analysis) let me show the affected compressors failing roughly 17× more often than a comparable benchmark unit on the same platform, and trace the cause to a wrong-specification filter element fitted into a housing built for now-discontinued OEM hardware. I engaged the OEM and an alternative supplier on a validated fix, packaged into an eleven-action closeout with named owners and dates.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Lifecycle and obsolescence risk, and vendor/workshop assurance, are also familiar ground: an RCFA and API 610 review of a chronically failing depropaniser pump at BRT found it running outside its design envelope on hydraulic selection and mechanical seal configuration, and I have led RCA and structural reinforcement for foundation cracking across multiple pumps and generators. I strengthened Oso's Pre-Startup Safety Review process to capture off-skid activities it had missed, now tailored to each bundle change-out, and maintain an appreciable record of identifying and following up on hazards under Seplat's Hazard Identification &amp; Control Scheme.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I bring six years managing machinery efficiency, reliability improvement and technology innovation for a multi-site gas turbine generating company, where I led Reliability-Centred Maintenance deployment, managed OEM Factory Acceptance Tests, and designed and deployed IIoT-based condition monitoring that delivered around ten per cent in operating cost savings. I also coach engineers and maintenance personnel and share lessons learned to standardise good practice across assets, and I was recognised with FIPL's Safety Sentinel and Safety Advocate of the Year awards for consistent hazard identification and follow-up.</w:t>
      </w:r>
    </w:p>
    <w:p>
      <w:pPr>
        <w:spacing w:before="0" w:after="7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Thank you for considering my application. I would welcome the opportunity to bring this track record of ownership, troubleshooting and reliability improvement to the Senior Machinery Engineer role.</w:t>
      </w:r>
    </w:p>
    <w:p>
      <w:pPr>
        <w:spacing w:before="80" w:after="200" w:line="240" w:lineRule="auto"/>
      </w:pPr>
      <w:r>
        <w:rPr>
          <w:rFonts w:ascii="Calibri" w:hAnsi="Calibri"/>
          <w:b w:val="0"/>
          <w:i w:val="0"/>
          <w:color w:val="1A1A1A"/>
          <w:sz w:val="19"/>
        </w:rPr>
        <w:t>Yours sincerely,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A1A1A"/>
          <w:sz w:val="19"/>
        </w:rPr>
        <w:t>Chukwuemeka Osmund Azodo</w:t>
      </w:r>
    </w:p>
    <w:sectPr w:rsidR="00FC693F" w:rsidRPr="0006063C" w:rsidSect="00034616">
      <w:pgSz w:w="12240" w:h="15840"/>
      <w:pgMar w:top="567" w:right="992" w:bottom="56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Cover Letter</dc:title>
  <dc:subject/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