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LNG/NGL trains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&amp; 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 ASQ Certified Reliability Engineer and Category I vibration analyst.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MOC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(centrifugal pumps) • API 614 (lubrication, shaft-sealing and control-oil systems) • API 617 (axial and centrifugal compressors) • ASME PTC-22 (gas turbine performance testing) • ISO 10816 / 20816 (vibration evaluation)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Rotating equipment and reliability authority for three offshore assets; deployed February 2026 as dedicated </w:t>
      </w:r>
      <w:r>
        <w:rPr>
          <w:rFonts w:ascii="Calibri" w:hAnsi="Calibri"/>
          <w:b/>
          <w:i w:val="0"/>
          <w:color w:val="1A1A1A"/>
          <w:sz w:val="18"/>
        </w:rPr>
        <w:t>Machinery/Reliability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30-year lube-oil contamination problem: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a systematic system review exposed as-built vs. as-designed discrepancies behind chronic high differential pressure, rapid filter clogging and element collapse.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coordinated the first comprehensive run-down tank flushing campaign in decades.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Imo River Associated Gas Gathering (AGG) plant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pre-commissioning checks, machinery alignment/verification, first-fire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 20, Centaur, Taurus 60 and Mars 100 • GE Frame 5 (MS5001) • GE Frame 9E (MS9001E) combined cycle • Ansaldo / Alstom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— valid to 2029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Instrumentation &amp; Control — Kufman Technical,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Rigging &amp; Scaffolding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 — applied to failure prediction,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Generative AI &amp; Agents — Johns Hopkins University,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