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10+ years' experience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 xml:space="preserve">: HP/LP centrifugal gas compressors (5,500+ psi), turbo-expanders, industrial gas turbines, cryogenic and API 610 pumps, diesel engines and lubrication/seal systems,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7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7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7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7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7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7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execution: gas and steam turbines, compressors, pumps, engines • Technical review of vendor/engineering documents, data sheets and deviations • Machinery FAT/SAT witnessing • Pre-commissioning, commissioning and start-up support • PSSR enhancement (off-skid activity capture)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Steward </w:t>
      </w:r>
      <w:r>
        <w:rPr>
          <w:rFonts w:ascii="Calibri" w:hAnsi="Calibri"/>
          <w:b/>
          <w:i w:val="0"/>
          <w:color w:val="1A1A1A"/>
          <w:sz w:val="17"/>
        </w:rPr>
        <w:t>safe and timely execution of the mechanical scope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120 → 240 MMSCFD expansion: HP 1st-stage wet seal change-out, compressor reconfiguration for export through the 1st stage, decommissioning of the 2nd-stage compressor and associated loops, and gas generator change-out with associated off-skid activities.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Maintain an appreciable record of identifying and following up on safety hazards under Seplat's </w:t>
      </w:r>
      <w:r>
        <w:rPr>
          <w:rFonts w:ascii="Calibri" w:hAnsi="Calibri"/>
          <w:b/>
          <w:i w:val="0"/>
          <w:color w:val="1A1A1A"/>
          <w:sz w:val="17"/>
        </w:rPr>
        <w:t>Hazard Identification &amp; Control Scheme (SHICS)</w:t>
      </w:r>
      <w:r>
        <w:rPr>
          <w:rFonts w:ascii="Calibri" w:hAnsi="Calibri"/>
          <w:b w:val="0"/>
          <w:i w:val="0"/>
          <w:color w:val="1A1A1A"/>
          <w:sz w:val="17"/>
        </w:rPr>
        <w:t>, using the relevant digital reporting tools, with consistent commendation on several occasions.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Recognised for safety leadership: </w:t>
      </w:r>
      <w:r>
        <w:rPr>
          <w:rFonts w:ascii="Calibri" w:hAnsi="Calibri"/>
          <w:b/>
          <w:i w:val="0"/>
          <w:color w:val="1A1A1A"/>
          <w:sz w:val="17"/>
        </w:rPr>
        <w:t>Safety Sentinel</w:t>
      </w:r>
      <w:r>
        <w:rPr>
          <w:rFonts w:ascii="Calibri" w:hAnsi="Calibri"/>
          <w:b w:val="0"/>
          <w:i w:val="0"/>
          <w:color w:val="1A1A1A"/>
          <w:sz w:val="17"/>
        </w:rPr>
        <w:t xml:space="preserve"> and </w:t>
      </w:r>
      <w:r>
        <w:rPr>
          <w:rFonts w:ascii="Calibri" w:hAnsi="Calibri"/>
          <w:b/>
          <w:i w:val="0"/>
          <w:color w:val="1A1A1A"/>
          <w:sz w:val="17"/>
        </w:rPr>
        <w:t>Safety Advocate of the Year</w:t>
      </w:r>
      <w:r>
        <w:rPr>
          <w:rFonts w:ascii="Calibri" w:hAnsi="Calibri"/>
          <w:b w:val="0"/>
          <w:i w:val="0"/>
          <w:color w:val="1A1A1A"/>
          <w:sz w:val="17"/>
        </w:rPr>
        <w:t xml:space="preserve"> awards (2023) for consistent hazard identification and follow-up.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Mgmt,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Programme, Digital Regenesys, 2026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Agents, Johns Hopkins,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Innovation,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valid,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Availability:</w:t>
      </w:r>
      <w:r>
        <w:rPr>
          <w:rFonts w:ascii="Calibri" w:hAnsi="Calibri"/>
          <w:b w:val="0"/>
          <w:i w:val="0"/>
          <w:color w:val="1A1A1A"/>
          <w:sz w:val="17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Azodo,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