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70" w:line="240" w:lineRule="auto"/>
        <w:jc w:val="both"/>
      </w:pPr>
      <w:r>
        <w:rPr>
          <w:rFonts w:ascii="Calibri" w:hAnsi="Calibri"/>
          <w:b w:val="0"/>
          <w:i w:val="0"/>
          <w:color w:val="1A1A1A"/>
          <w:sz w:val="18"/>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70" w:line="240" w:lineRule="auto"/>
        <w:jc w:val="both"/>
      </w:pPr>
      <w:r>
        <w:rPr>
          <w:rFonts w:ascii="Calibri" w:hAnsi="Calibri"/>
          <w:b w:val="0"/>
          <w:i w:val="0"/>
          <w:color w:val="1A1A1A"/>
          <w:sz w:val="18"/>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Safety is a consistent strength: I maintain an appreciable record of identifying and following up on hazards under Seplat's Hazard Identification &amp; Control Scheme, and earlier received FIPL's Safety Sentinel and Safety Advocate of the Year awards (2023). Digitalization is a strong, hands-on competency of mine from earlier roles: IIoT sensor-to-cloud monitoring (Modbus, OPC-UA), applied machine learning for failure prediction, and machinery controls and instrumentation, most notably an IIoT condition monitoring programme that cut operating cost by around ten per cent, a capability not yet applied at Oso.</w:t>
      </w:r>
    </w:p>
    <w:p>
      <w:pPr>
        <w:spacing w:before="0" w:after="70" w:line="240" w:lineRule="auto"/>
        <w:jc w:val="both"/>
      </w:pPr>
      <w:r>
        <w:rPr>
          <w:rFonts w:ascii="Calibri" w:hAnsi="Calibri"/>
          <w:b w:val="0"/>
          <w:i w:val="0"/>
          <w:color w:val="1A1A1A"/>
          <w:sz w:val="18"/>
        </w:rPr>
        <w:t>I coordinate directly with OEMs, contractors and cross-functional teams on maintenance and repair programs, document completed work so others can build on it, and report equipment issues, exposures and improvement opportunities clearly and promptly to asset leadership.</w:t>
      </w:r>
    </w:p>
    <w:p>
      <w:pPr>
        <w:spacing w:before="0" w:after="70" w:line="240" w:lineRule="auto"/>
        <w:jc w:val="both"/>
      </w:pPr>
      <w:r>
        <w:rPr>
          <w:rFonts w:ascii="Calibri" w:hAnsi="Calibri"/>
          <w:b w:val="0"/>
          <w:i w:val="0"/>
          <w:color w:val="1A1A1A"/>
          <w:sz w:val="18"/>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