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47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6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1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1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1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22"/>
        </w:rPr>
        <w:t>10+ years' experience</w:t>
      </w:r>
      <w:r>
        <w:rPr>
          <w:rFonts w:ascii="Calibri" w:hAnsi="Calibri"/>
          <w:b w:val="0"/>
          <w:i w:val="0"/>
          <w:color w:val="1A1A1A"/>
          <w:sz w:val="22"/>
        </w:rPr>
        <w:t xml:space="preserve"> in machinery and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22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22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22"/>
        </w:rPr>
        <w:t>Mobil Producing Nigeria</w:t>
      </w:r>
      <w:r>
        <w:rPr>
          <w:rFonts w:ascii="Calibri" w:hAnsi="Calibri"/>
          <w:b w:val="0"/>
          <w:i w:val="0"/>
          <w:color w:val="1A1A1A"/>
          <w:sz w:val="22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22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22"/>
        </w:rPr>
        <w:t xml:space="preserve"> through daily review of equipment performance: vibration, lube-oil analysis, compressor maps, turbine parameters and pump curves, via SolarInsight, Seeq and PI XHQ. </w:t>
      </w:r>
      <w:r>
        <w:rPr>
          <w:rFonts w:ascii="Calibri" w:hAnsi="Calibri"/>
          <w:b/>
          <w:i w:val="0"/>
          <w:color w:val="1A1A1A"/>
          <w:sz w:val="22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22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22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22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Major overhaul planning and execution: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enhancement (off-skid activity capture)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21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21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22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22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2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Run periodic </w:t>
      </w:r>
      <w:r>
        <w:rPr>
          <w:rFonts w:ascii="Calibri" w:hAnsi="Calibri"/>
          <w:b/>
          <w:i w:val="0"/>
          <w:color w:val="1A1A1A"/>
          <w:sz w:val="22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22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Exploit digital solutions (</w:t>
      </w:r>
      <w:r>
        <w:rPr>
          <w:rFonts w:ascii="Calibri" w:hAnsi="Calibri"/>
          <w:b/>
          <w:i w:val="0"/>
          <w:color w:val="1A1A1A"/>
          <w:sz w:val="22"/>
        </w:rPr>
        <w:t>SolarInsight, Seeq, PI XHQ</w:t>
      </w:r>
      <w:r>
        <w:rPr>
          <w:rFonts w:ascii="Calibri" w:hAnsi="Calibri"/>
          <w:b w:val="0"/>
          <w:i w:val="0"/>
          <w:color w:val="1A1A1A"/>
          <w:sz w:val="22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22"/>
        </w:rPr>
        <w:t>Asset Engineer coverage</w:t>
      </w:r>
      <w:r>
        <w:rPr>
          <w:rFonts w:ascii="Calibri" w:hAnsi="Calibri"/>
          <w:b w:val="0"/>
          <w:i w:val="0"/>
          <w:color w:val="1A1A1A"/>
          <w:sz w:val="22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2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22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22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22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22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22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22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22"/>
        </w:rPr>
        <w:t xml:space="preserve"> RCFA plus an </w:t>
      </w:r>
      <w:r>
        <w:rPr>
          <w:rFonts w:ascii="Calibri" w:hAnsi="Calibri"/>
          <w:b/>
          <w:i w:val="0"/>
          <w:color w:val="1A1A1A"/>
          <w:sz w:val="22"/>
        </w:rPr>
        <w:t>API 610</w:t>
      </w:r>
      <w:r>
        <w:rPr>
          <w:rFonts w:ascii="Calibri" w:hAnsi="Calibri"/>
          <w:b w:val="0"/>
          <w:i w:val="0"/>
          <w:color w:val="1A1A1A"/>
          <w:sz w:val="22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22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22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22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22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22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2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Contribute to </w:t>
      </w:r>
      <w:r>
        <w:rPr>
          <w:rFonts w:ascii="Calibri" w:hAnsi="Calibri"/>
          <w:b/>
          <w:i w:val="0"/>
          <w:color w:val="1A1A1A"/>
          <w:sz w:val="22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22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22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22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22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22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22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22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22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Led </w:t>
      </w:r>
      <w:r>
        <w:rPr>
          <w:rFonts w:ascii="Calibri" w:hAnsi="Calibri"/>
          <w:b/>
          <w:i w:val="0"/>
          <w:color w:val="1A1A1A"/>
          <w:sz w:val="22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22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Supervised </w:t>
      </w:r>
      <w:r>
        <w:rPr>
          <w:rFonts w:ascii="Calibri" w:hAnsi="Calibri"/>
          <w:b/>
          <w:i w:val="0"/>
          <w:color w:val="1A1A1A"/>
          <w:sz w:val="22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22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Managed OEM </w:t>
      </w:r>
      <w:r>
        <w:rPr>
          <w:rFonts w:ascii="Calibri" w:hAnsi="Calibri"/>
          <w:b/>
          <w:i w:val="0"/>
          <w:color w:val="1A1A1A"/>
          <w:sz w:val="22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Seconded as </w:t>
      </w:r>
      <w:r>
        <w:rPr>
          <w:rFonts w:ascii="Calibri" w:hAnsi="Calibri"/>
          <w:b/>
          <w:i w:val="0"/>
          <w:color w:val="1A1A1A"/>
          <w:sz w:val="22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22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22"/>
        </w:rPr>
        <w:t>more than 24 hours</w:t>
      </w:r>
      <w:r>
        <w:rPr>
          <w:rFonts w:ascii="Calibri" w:hAnsi="Calibri"/>
          <w:b w:val="0"/>
          <w:i w:val="0"/>
          <w:color w:val="1A1A1A"/>
          <w:sz w:val="22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Led major </w:t>
      </w:r>
      <w:r>
        <w:rPr>
          <w:rFonts w:ascii="Calibri" w:hAnsi="Calibri"/>
          <w:b/>
          <w:i w:val="0"/>
          <w:color w:val="1A1A1A"/>
          <w:sz w:val="22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22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22"/>
        </w:rPr>
        <w:t>RCA investigations</w:t>
      </w:r>
      <w:r>
        <w:rPr>
          <w:rFonts w:ascii="Calibri" w:hAnsi="Calibri"/>
          <w:b w:val="0"/>
          <w:i w:val="0"/>
          <w:color w:val="1A1A1A"/>
          <w:sz w:val="22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22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22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AI Advanced Applied Programme, Digital Regenesys, 2026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IBM AI Engineering, 2023 &amp; Generative AI and Agents,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Chairman's Recognition for Innovation, Sahara Group, 2019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22"/>
        </w:rPr>
        <w:t>References:</w:t>
      </w:r>
      <w:r>
        <w:rPr>
          <w:rFonts w:ascii="Calibri" w:hAnsi="Calibri"/>
          <w:b w:val="0"/>
          <w:i w:val="0"/>
          <w:color w:val="1A1A1A"/>
          <w:sz w:val="22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20"/>
      </w:rPr>
      <w:t>Chukwuemeka Osmund Azodo,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