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8"/>
        </w:rPr>
        <w:t>10+ years' experience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in rotating equipment engineering across offshore gas processing, LNG/NGL trains and gas-fired power generation — currently the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HP/LP centrifugal gas compressors (5,500+ psi), turbo-expanders, industrial gas turbines, cryogenic and API 610 pumps, diesel engines and lubrication/seal systems —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8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8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8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8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8"/>
        </w:rPr>
        <w:t>. ASQ Certified Reliability Engineer and Category I vibration analyst.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Bad-actor and MTBF analysis • Criticality ranking • Life-cycle cost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MOC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Technical review of vendor/engineering documents, data sheets and deviations • Machinery FAT/SAT witnessing • Pre-commissioning, commissioning and start-up support • PSSR development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(centrifugal pumps) • API 614 (lubrication, shaft-sealing and control-oil systems) • API 617 (axial and centrifugal compressors) • ASME PTC-22 (gas turbine performance testing) • ISO 10816 / 20816 (vibration evaluation)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8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8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Run periodic </w:t>
      </w:r>
      <w:r>
        <w:rPr>
          <w:rFonts w:ascii="Calibri" w:hAnsi="Calibri"/>
          <w:b/>
          <w:i w:val="0"/>
          <w:color w:val="1A1A1A"/>
          <w:sz w:val="18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Exploit digital solutions (</w:t>
      </w:r>
      <w:r>
        <w:rPr>
          <w:rFonts w:ascii="Calibri" w:hAnsi="Calibri"/>
          <w:b/>
          <w:i w:val="0"/>
          <w:color w:val="1A1A1A"/>
          <w:sz w:val="18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8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8"/>
        </w:rPr>
        <w:t>Asset Engineer coverage</w:t>
      </w:r>
      <w:r>
        <w:rPr>
          <w:rFonts w:ascii="Calibri" w:hAnsi="Calibri"/>
          <w:b w:val="0"/>
          <w:i w:val="0"/>
          <w:color w:val="1A1A1A"/>
          <w:sz w:val="18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8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10-year high filter clog rate on the lube-oil system:</w:t>
      </w:r>
      <w:r>
        <w:rPr>
          <w:rFonts w:ascii="Calibri" w:hAnsi="Calibri"/>
          <w:b w:val="0"/>
          <w:i w:val="0"/>
          <w:color w:val="1A1A1A"/>
          <w:sz w:val="18"/>
        </w:rPr>
        <w:t xml:space="preserve"> identified the problem during a systematic system review, tracing a decade of high differential pressure, rapid filter clogging and element collapse to undocumented as-built versus as-designed discrepancies. Introduced an elemental </w:t>
      </w:r>
      <w:r>
        <w:rPr>
          <w:rFonts w:ascii="Calibri" w:hAnsi="Calibri"/>
          <w:b/>
          <w:i w:val="0"/>
          <w:color w:val="1A1A1A"/>
          <w:sz w:val="18"/>
        </w:rPr>
        <w:t>contamination tracker</w:t>
      </w:r>
      <w:r>
        <w:rPr>
          <w:rFonts w:ascii="Calibri" w:hAnsi="Calibri"/>
          <w:b w:val="0"/>
          <w:i w:val="0"/>
          <w:color w:val="1A1A1A"/>
          <w:sz w:val="18"/>
        </w:rPr>
        <w:t xml:space="preserve"> with node-by-node sampling to isolate the ingress zones, and am driving close-out through dedicated run-down tank flushing.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RCFA plus an </w:t>
      </w:r>
      <w:r>
        <w:rPr>
          <w:rFonts w:ascii="Calibri" w:hAnsi="Calibri"/>
          <w:b/>
          <w:i w:val="0"/>
          <w:color w:val="1A1A1A"/>
          <w:sz w:val="18"/>
        </w:rPr>
        <w:t>API 610</w:t>
      </w:r>
      <w:r>
        <w:rPr>
          <w:rFonts w:ascii="Calibri" w:hAnsi="Calibri"/>
          <w:b w:val="0"/>
          <w:i w:val="0"/>
          <w:color w:val="1A1A1A"/>
          <w:sz w:val="18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8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8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8"/>
        </w:rPr>
        <w:t xml:space="preserve"> resolved a long-standing vibration problem on a safety-critical package and validated performance against pump-curve criteria during deliverability testing.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8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Contribute to </w:t>
      </w:r>
      <w:r>
        <w:rPr>
          <w:rFonts w:ascii="Calibri" w:hAnsi="Calibri"/>
          <w:b/>
          <w:i w:val="0"/>
          <w:color w:val="1A1A1A"/>
          <w:sz w:val="18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8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8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8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8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8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8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8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8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</w:t>
      </w:r>
      <w:r>
        <w:rPr>
          <w:rFonts w:ascii="Calibri" w:hAnsi="Calibri"/>
          <w:b/>
          <w:i w:val="0"/>
          <w:color w:val="1A1A1A"/>
          <w:sz w:val="18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8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Supervised </w:t>
      </w:r>
      <w:r>
        <w:rPr>
          <w:rFonts w:ascii="Calibri" w:hAnsi="Calibri"/>
          <w:b/>
          <w:i w:val="0"/>
          <w:color w:val="1A1A1A"/>
          <w:sz w:val="18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Managed OEM </w:t>
      </w:r>
      <w:r>
        <w:rPr>
          <w:rFonts w:ascii="Calibri" w:hAnsi="Calibri"/>
          <w:b/>
          <w:i w:val="0"/>
          <w:color w:val="1A1A1A"/>
          <w:sz w:val="18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Seconded as </w:t>
      </w:r>
      <w:r>
        <w:rPr>
          <w:rFonts w:ascii="Calibri" w:hAnsi="Calibri"/>
          <w:b/>
          <w:i w:val="0"/>
          <w:color w:val="1A1A1A"/>
          <w:sz w:val="18"/>
        </w:rPr>
        <w:t>Lead Mechanical/Reliability Engineer for the Imo River Associated Gas Gathering (AGG) plant start-up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pre-commissioning checks, machinery alignment/verification, first-fire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8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8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8"/>
        </w:rPr>
        <w:t>more than 24 hours</w:t>
      </w:r>
      <w:r>
        <w:rPr>
          <w:rFonts w:ascii="Calibri" w:hAnsi="Calibri"/>
          <w:b w:val="0"/>
          <w:i w:val="0"/>
          <w:color w:val="1A1A1A"/>
          <w:sz w:val="18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Led major </w:t>
      </w:r>
      <w:r>
        <w:rPr>
          <w:rFonts w:ascii="Calibri" w:hAnsi="Calibri"/>
          <w:b/>
          <w:i w:val="0"/>
          <w:color w:val="1A1A1A"/>
          <w:sz w:val="18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8"/>
        </w:rPr>
        <w:t>RCA investigations</w:t>
      </w:r>
      <w:r>
        <w:rPr>
          <w:rFonts w:ascii="Calibri" w:hAnsi="Calibri"/>
          <w:b w:val="0"/>
          <w:i w:val="0"/>
          <w:color w:val="1A1A1A"/>
          <w:sz w:val="18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8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8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 —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Machinery Vibration Analysis &amp; Alignment — O-Secul, 2019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 Frame 9E Combined Cycle — SEPCO-Pacific, 2015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— valid to 2029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 —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Basic Instrumentation &amp; Control — Kufman Technical, 2020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Basic Rigging &amp; Scaffolding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 — applied to failure prediction,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Generative AI &amp; Agents — Johns Hopkins University,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B03319482 (Nigeria)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8"/>
        </w:rPr>
        <w:t>Availability:</w:t>
      </w:r>
      <w:r>
        <w:rPr>
          <w:rFonts w:ascii="Calibri" w:hAnsi="Calibri"/>
          <w:b w:val="0"/>
          <w:i w:val="0"/>
          <w:color w:val="1A1A1A"/>
          <w:sz w:val="18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8"/>
        </w:rPr>
        <w:t>References:</w:t>
      </w:r>
      <w:r>
        <w:rPr>
          <w:rFonts w:ascii="Calibri" w:hAnsi="Calibri"/>
          <w:b w:val="0"/>
          <w:i w:val="0"/>
          <w:color w:val="1A1A1A"/>
          <w:sz w:val="18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