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40" w:lineRule="auto"/>
        <w:jc w:val="center"/>
      </w:pPr>
      <w:r>
        <w:rPr>
          <w:rFonts w:ascii="Calibri" w:hAnsi="Calibri"/>
          <w:b/>
          <w:i w:val="0"/>
          <w:color w:val="12304F"/>
          <w:sz w:val="38"/>
        </w:rPr>
        <w:t>CHUKWUEMEKA OSMUND AZODO</w:t>
      </w:r>
    </w:p>
    <w:p>
      <w:pPr>
        <w:spacing w:before="0" w:after="40" w:line="240" w:lineRule="auto"/>
        <w:jc w:val="center"/>
      </w:pPr>
      <w:r>
        <w:rPr>
          <w:rFonts w:ascii="Calibri" w:hAnsi="Calibri"/>
          <w:b/>
          <w:i w:val="0"/>
          <w:color w:val="1F5C8B"/>
          <w:sz w:val="21"/>
        </w:rPr>
        <w:t>ROTATING EQUIPMENT / MACHINERY RELIABILITY ENGINEER  |  OIL, GAS &amp; LNG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3F4A54"/>
          <w:sz w:val="17"/>
        </w:rPr>
        <w:t>B.Eng Mechanical Engineering  |  ASQ Certified Reliability Engineer (CRE)  |  COREN R.Engr  |  ASME, SPE, NSE, ASQ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3F4A54"/>
          <w:sz w:val="17"/>
        </w:rPr>
        <w:t>+234 703 087 2333  |  azodoemeka@gmail.com  |  www.linkedin.com/in/azodoemeka  |  Eket, Akwa Ibom, Nigeria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3F4A54"/>
          <w:sz w:val="17"/>
        </w:rPr>
        <w:t xml:space="preserve">BOSIET with CA-EBS (valid to 2029)  |  Offshore Safety Permit (OSP)  |  </w:t>
      </w:r>
      <w:r>
        <w:rPr>
          <w:rFonts w:ascii="Calibri" w:hAnsi="Calibri"/>
          <w:b/>
          <w:i w:val="0"/>
          <w:color w:val="3F4A54"/>
          <w:sz w:val="17"/>
        </w:rPr>
        <w:t>Available for immediate international mobilisation</w:t>
      </w:r>
    </w:p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PROFESSIONAL PROFILE</w:t>
      </w:r>
    </w:p>
    <w:p>
      <w:pPr>
        <w:spacing w:before="0" w:after="40" w:line="240" w:lineRule="auto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Mechanical engineer with </w:t>
      </w:r>
      <w:r>
        <w:rPr>
          <w:rFonts w:ascii="Calibri" w:hAnsi="Calibri"/>
          <w:b/>
          <w:i w:val="0"/>
          <w:color w:val="1A1A1A"/>
          <w:sz w:val="17"/>
        </w:rPr>
        <w:t>10+ years' experience</w:t>
      </w:r>
      <w:r>
        <w:rPr>
          <w:rFonts w:ascii="Calibri" w:hAnsi="Calibri"/>
          <w:b w:val="0"/>
          <w:i w:val="0"/>
          <w:color w:val="1A1A1A"/>
          <w:sz w:val="17"/>
        </w:rPr>
        <w:t xml:space="preserve"> in rotating equipment engineering across offshore gas processing, NGL trains, associated gas gathering and gas-fired power generation; currently the </w:t>
      </w:r>
      <w:r>
        <w:rPr>
          <w:rFonts w:ascii="Calibri" w:hAnsi="Calibri"/>
          <w:b/>
          <w:i w:val="0"/>
          <w:color w:val="1A1A1A"/>
          <w:sz w:val="17"/>
        </w:rPr>
        <w:t>Machinery Engineer for the Oso Gas Hub</w:t>
      </w:r>
      <w:r>
        <w:rPr>
          <w:rFonts w:ascii="Calibri" w:hAnsi="Calibri"/>
          <w:b w:val="0"/>
          <w:i w:val="0"/>
          <w:color w:val="1A1A1A"/>
          <w:sz w:val="17"/>
        </w:rPr>
        <w:t xml:space="preserve">, the largest offshore gas processing facility in the Seplat/JV portfolio. Day-to-day accountability for the </w:t>
      </w:r>
      <w:r>
        <w:rPr>
          <w:rFonts w:ascii="Calibri" w:hAnsi="Calibri"/>
          <w:b/>
          <w:i w:val="0"/>
          <w:color w:val="1A1A1A"/>
          <w:sz w:val="17"/>
        </w:rPr>
        <w:t>health assessment surveillance of critical rotating equipment</w:t>
      </w:r>
      <w:r>
        <w:rPr>
          <w:rFonts w:ascii="Calibri" w:hAnsi="Calibri"/>
          <w:b w:val="0"/>
          <w:i w:val="0"/>
          <w:color w:val="1A1A1A"/>
          <w:sz w:val="17"/>
        </w:rPr>
        <w:t xml:space="preserve">: HP/LP centrifugal gas compressors (5,500+ psi), turbo-expanders, industrial gas turbines, cryogenic and API 610 pumps, diesel engines and lubrication/seal systems, using vibration and lube-oil analytics, performance/compressor maps and digital platforms (SolarInsight, Seeq, PI XHQ). Works shoulder-to-shoulder with operations, maintenance, process, instrumentation and inspection teams to </w:t>
      </w:r>
      <w:r>
        <w:rPr>
          <w:rFonts w:ascii="Calibri" w:hAnsi="Calibri"/>
          <w:b/>
          <w:i w:val="0"/>
          <w:color w:val="1A1A1A"/>
          <w:sz w:val="17"/>
        </w:rPr>
        <w:t>diagnose machinery problems, optimise intervention scope and duration, and recommend engineered resolutions</w:t>
      </w:r>
      <w:r>
        <w:rPr>
          <w:rFonts w:ascii="Calibri" w:hAnsi="Calibri"/>
          <w:b w:val="0"/>
          <w:i w:val="0"/>
          <w:color w:val="1A1A1A"/>
          <w:sz w:val="17"/>
        </w:rPr>
        <w:t xml:space="preserve">. Leads and contributes to </w:t>
      </w:r>
      <w:r>
        <w:rPr>
          <w:rFonts w:ascii="Calibri" w:hAnsi="Calibri"/>
          <w:b/>
          <w:i w:val="0"/>
          <w:color w:val="1A1A1A"/>
          <w:sz w:val="17"/>
        </w:rPr>
        <w:t>RCFA, risk assessments and technical investigations</w:t>
      </w:r>
      <w:r>
        <w:rPr>
          <w:rFonts w:ascii="Calibri" w:hAnsi="Calibri"/>
          <w:b w:val="0"/>
          <w:i w:val="0"/>
          <w:color w:val="1A1A1A"/>
          <w:sz w:val="17"/>
        </w:rPr>
        <w:t xml:space="preserve">; reviews MOCs and project documentation for reliability and operability; and supports </w:t>
      </w:r>
      <w:r>
        <w:rPr>
          <w:rFonts w:ascii="Calibri" w:hAnsi="Calibri"/>
          <w:b/>
          <w:i w:val="0"/>
          <w:color w:val="1A1A1A"/>
          <w:sz w:val="17"/>
        </w:rPr>
        <w:t>FAT/SAT, commissioning and start-up</w:t>
      </w:r>
      <w:r>
        <w:rPr>
          <w:rFonts w:ascii="Calibri" w:hAnsi="Calibri"/>
          <w:b w:val="0"/>
          <w:i w:val="0"/>
          <w:color w:val="1A1A1A"/>
          <w:sz w:val="17"/>
        </w:rPr>
        <w:t xml:space="preserve"> of new machinery. Established liaison with OEMs and vendors (Solar Turbines, GE, Siemens and Honeywell CCC). Strong working knowledge of </w:t>
      </w:r>
      <w:r>
        <w:rPr>
          <w:rFonts w:ascii="Calibri" w:hAnsi="Calibri"/>
          <w:b/>
          <w:i w:val="0"/>
          <w:color w:val="1A1A1A"/>
          <w:sz w:val="17"/>
        </w:rPr>
        <w:t>API 610, API 614, API 617, ISO 10816/20816 and ASME PTC-22</w:t>
      </w:r>
      <w:r>
        <w:rPr>
          <w:rFonts w:ascii="Calibri" w:hAnsi="Calibri"/>
          <w:b w:val="0"/>
          <w:i w:val="0"/>
          <w:color w:val="1A1A1A"/>
          <w:sz w:val="17"/>
        </w:rPr>
        <w:t>.</w:t>
      </w:r>
    </w:p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CORE TECHNICAL COMPETENCIES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single" w:sz="4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2268"/>
        <w:gridCol w:w="7597"/>
      </w:tblGrid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Rotating Equipment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 xml:space="preserve">Centrifugal gas compressors (HP/LP, recompressors) • Turbo-expander and booster-compressor trains • Industrial gas turbines • Steam turbines • API 610 centrifugal and cryogenic pumps • Diesel engine drivers • Screw and reciprocating air compressors • Dry-gas and mechanical seals, journal/thrust bearings, couplings, lube-oil and seal-gas systems </w:t>
            </w:r>
            <w:r>
              <w:rPr>
                <w:rFonts w:ascii="Calibri" w:hAnsi="Calibri"/>
                <w:b/>
                <w:i w:val="0"/>
                <w:color w:val="1A1A1A"/>
                <w:sz w:val="16"/>
              </w:rPr>
              <w:t>(OEMs and models listed on page 3)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Health Assessment &amp; Surveillance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Vibration analysis (ISO 10816/20816, Cat-I) • Lube-oil sampling, elemental &amp; particle-count analysis • Infrared thermography • Videoscope/borescope inspection • Performance monitoring via compressor maps, turbine heat rate and pump curves • Deviation flagging, trending and health reporting to stakeholders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Digital Tools &amp; Programs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SolarInsight • Seeq • PI / PI XHQ historian &amp; dashboards • Honeywell CCC anti-surge and turbomachinery control • SAP PM (notifications, work orders, strategy) • CMMS/EAM data quality • IIoT sensor-to-cloud (Modbus, OPC-UA) • Python/analytics and AI-assisted failure prediction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Reliability &amp; Problem Solving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Root Cause Failure Analysis (RCFA) • RCA (5-Why, Fishbone, Fault Tree) • FMEA / RCM • Crow-AMSAA reliability-growth and Weibull analysis • Bad-actor and MTBF analysis • Criticality ranking • Reliability improvement and defect-elimination programmes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Projects, Overhauls &amp; Commissioning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Major overhaul planning and execution: gas and steam turbines, compressors, pumps, engines • Technical review of vendor/engineering documents, data sheets and deviations • Machinery FAT/SAT witnessing • Pre-commissioning, commissioning and start-up support • PSSR enhancement (off-skid activity capture) and execution • Brownfield modification and capacity-expansion support (120 → 240 MMSCFD)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Operations Interface &amp; HSE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Operations/maintenance decision support • Shutdown &amp; turnaround scope optimisation • Risk assessment, HAZID/JSA participation • Permit to Work, LOTO, SIMOPS • OEM and vendor coordination • Multi-discipline technical support and mentoring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Standards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API 610 • API 614 • API 617 • ASME PTC-22 • ISO 10816 / 20816</w:t>
            </w: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PROFESSIONAL EXPERIENCE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Machinery Engineer Specialist II, Offshore Asset Engineering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May 2025 – Present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17"/>
        </w:rPr>
        <w:t xml:space="preserve">Amaiden Energy Nigeria Ltd, seconded to </w:t>
      </w:r>
      <w:r>
        <w:rPr>
          <w:rFonts w:ascii="Calibri" w:hAnsi="Calibri"/>
          <w:b/>
          <w:i/>
          <w:color w:val="3F4A54"/>
          <w:sz w:val="17"/>
        </w:rPr>
        <w:t>Seplat Energy Producing Nigeria Unlimited</w:t>
      </w:r>
      <w:r>
        <w:rPr>
          <w:rFonts w:ascii="Calibri" w:hAnsi="Calibri"/>
          <w:b w:val="0"/>
          <w:i/>
          <w:color w:val="3F4A54"/>
          <w:sz w:val="17"/>
        </w:rPr>
        <w:t xml:space="preserve"> (JV offshore assets: Oso Gas Hub, BRT, UBIT)</w:t>
      </w:r>
    </w:p>
    <w:p>
      <w:pPr>
        <w:spacing w:before="0" w:after="40" w:line="240" w:lineRule="auto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Provides rotating equipment and reliability engineering support across three offshore assets; deployed February 2026 as the dedicated </w:t>
      </w:r>
      <w:r>
        <w:rPr>
          <w:rFonts w:ascii="Calibri" w:hAnsi="Calibri"/>
          <w:b/>
          <w:i w:val="0"/>
          <w:color w:val="1A1A1A"/>
          <w:sz w:val="17"/>
        </w:rPr>
        <w:t>Machinery Engineer for the Oso Gas Hub</w:t>
      </w:r>
      <w:r>
        <w:rPr>
          <w:rFonts w:ascii="Calibri" w:hAnsi="Calibri"/>
          <w:b w:val="0"/>
          <w:i w:val="0"/>
          <w:color w:val="1A1A1A"/>
          <w:sz w:val="17"/>
        </w:rPr>
        <w:t xml:space="preserve"> (120 MMSCFD sales gas + NGL export, expanding to 240 MMSCFD), covering top-tier machinery (HP/LP compressors, recompressors, turbo-expanders, cryogenic pumps), utilities (gas turbine generators, firewater pumps, air compressors) and the NGL fractionation train (de-ethaniser, de-propaniser, de-butaniser).</w:t>
      </w:r>
    </w:p>
    <w:p>
      <w:pPr>
        <w:spacing w:before="80" w:after="20" w:line="240" w:lineRule="auto"/>
      </w:pPr>
      <w:r>
        <w:rPr>
          <w:rFonts w:ascii="Calibri" w:hAnsi="Calibri"/>
          <w:b/>
          <w:i w:val="0"/>
          <w:color w:val="1F5C8B"/>
          <w:sz w:val="17"/>
        </w:rPr>
        <w:t>Equipment Health Surveillance &amp; Technical Support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Run periodic </w:t>
      </w:r>
      <w:r>
        <w:rPr>
          <w:rFonts w:ascii="Calibri" w:hAnsi="Calibri"/>
          <w:b/>
          <w:i w:val="0"/>
          <w:color w:val="1A1A1A"/>
          <w:sz w:val="17"/>
        </w:rPr>
        <w:t>health assessment surveillance of critical rotating equipment</w:t>
      </w:r>
      <w:r>
        <w:rPr>
          <w:rFonts w:ascii="Calibri" w:hAnsi="Calibri"/>
          <w:b w:val="0"/>
          <w:i w:val="0"/>
          <w:color w:val="1A1A1A"/>
          <w:sz w:val="17"/>
        </w:rPr>
        <w:t>: review vibration spectra and trends, lube-oil analysis results, compressor performance maps, turbine parameters and pump deliverability curves, and issue analyses and recommendations to operations, maintenance and asset management for every deviation.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>Exploit digital solutions (</w:t>
      </w:r>
      <w:r>
        <w:rPr>
          <w:rFonts w:ascii="Calibri" w:hAnsi="Calibri"/>
          <w:b/>
          <w:i w:val="0"/>
          <w:color w:val="1A1A1A"/>
          <w:sz w:val="17"/>
        </w:rPr>
        <w:t>SolarInsight, Seeq, PI XHQ</w:t>
      </w:r>
      <w:r>
        <w:rPr>
          <w:rFonts w:ascii="Calibri" w:hAnsi="Calibri"/>
          <w:b w:val="0"/>
          <w:i w:val="0"/>
          <w:color w:val="1A1A1A"/>
          <w:sz w:val="17"/>
        </w:rPr>
        <w:t>) to trend machinery condition and process parameters, converting raw data into early-warning calls that prevent unplanned trips and deferment.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>Act as the discipline reference point for other engineering and non-engineering functions: process, instrumentation/controls, inspection, operations, planning, procurement and finance, providing rotating-equipment technical input, spares criticality advice and specification support.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Provide interim </w:t>
      </w:r>
      <w:r>
        <w:rPr>
          <w:rFonts w:ascii="Calibri" w:hAnsi="Calibri"/>
          <w:b/>
          <w:i w:val="0"/>
          <w:color w:val="1A1A1A"/>
          <w:sz w:val="17"/>
        </w:rPr>
        <w:t>Asset Engineer coverage</w:t>
      </w:r>
      <w:r>
        <w:rPr>
          <w:rFonts w:ascii="Calibri" w:hAnsi="Calibri"/>
          <w:b w:val="0"/>
          <w:i w:val="0"/>
          <w:color w:val="1A1A1A"/>
          <w:sz w:val="17"/>
        </w:rPr>
        <w:t>, extending beyond machinery into production optimisation, process stabilisation and non-machinery plant systems, ensuring uninterrupted technical support across the facility.</w:t>
      </w:r>
    </w:p>
    <w:p>
      <w:pPr>
        <w:spacing w:before="80" w:after="20" w:line="240" w:lineRule="auto"/>
      </w:pPr>
      <w:r>
        <w:rPr>
          <w:rFonts w:ascii="Calibri" w:hAnsi="Calibri"/>
          <w:b/>
          <w:i w:val="0"/>
          <w:color w:val="1F5C8B"/>
          <w:sz w:val="17"/>
        </w:rPr>
        <w:t>Machinery Problem Resolution, RCFA &amp; Investigations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7"/>
        </w:rPr>
        <w:t>LP gas compressor (130 MMSCFD, 1,440+ psi) severe vibration after bundle change-out:</w:t>
      </w:r>
      <w:r>
        <w:rPr>
          <w:rFonts w:ascii="Calibri" w:hAnsi="Calibri"/>
          <w:b w:val="0"/>
          <w:i w:val="0"/>
          <w:color w:val="1A1A1A"/>
          <w:sz w:val="17"/>
        </w:rPr>
        <w:t xml:space="preserve"> led the multi-discipline RCA with OEM and in-house teams: mapped contamination paths, ran sectioned borescope inspections of cooler bundles, identified debris-induced rotor unbalance, then directed process piping cleaning, lube-oil flushing and re-inspection. Machine restored to acceptable ISO vibration limits and returned to service.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7"/>
        </w:rPr>
        <w:t>HP gas compression system (120 MMSCFD, 5,500+ psi):</w:t>
      </w:r>
      <w:r>
        <w:rPr>
          <w:rFonts w:ascii="Calibri" w:hAnsi="Calibri"/>
          <w:b w:val="0"/>
          <w:i w:val="0"/>
          <w:color w:val="1A1A1A"/>
          <w:sz w:val="17"/>
        </w:rPr>
        <w:t xml:space="preserve"> developed and drove the restoration strategy for the facility's most critical train, safeguarding continuity of gas export to the terminal.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7"/>
        </w:rPr>
        <w:t>15-year fleet-wide compressor reliability closeout:</w:t>
      </w:r>
      <w:r>
        <w:rPr>
          <w:rFonts w:ascii="Calibri" w:hAnsi="Calibri"/>
          <w:b w:val="0"/>
          <w:i w:val="0"/>
          <w:color w:val="1A1A1A"/>
          <w:sz w:val="17"/>
        </w:rPr>
        <w:t xml:space="preserve"> led a data-driven RCFA (2011–2026) using pooled failure-rate and </w:t>
      </w:r>
      <w:r>
        <w:rPr>
          <w:rFonts w:ascii="Calibri" w:hAnsi="Calibri"/>
          <w:b/>
          <w:i w:val="0"/>
          <w:color w:val="1A1A1A"/>
          <w:sz w:val="17"/>
        </w:rPr>
        <w:t>Crow-AMSAA reliability-growth analysis</w:t>
      </w:r>
      <w:r>
        <w:rPr>
          <w:rFonts w:ascii="Calibri" w:hAnsi="Calibri"/>
          <w:b w:val="0"/>
          <w:i w:val="0"/>
          <w:color w:val="1A1A1A"/>
          <w:sz w:val="17"/>
        </w:rPr>
        <w:t>, showing the affected compressors failing ~17× more often than a comparable benchmark unit on the same platform. Root-caused the shortfall to a wrong-specification filter element in a housing built for now-discontinued OEM hardware, predating the original 2011 investigation. Engaged the OEM and an alternative supplier on a validated fix, packaged into an eleven-action closeout with named owners and dates.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7"/>
        </w:rPr>
        <w:t>LPA compressor bearing rust contamination:</w:t>
      </w:r>
      <w:r>
        <w:rPr>
          <w:rFonts w:ascii="Calibri" w:hAnsi="Calibri"/>
          <w:b w:val="0"/>
          <w:i w:val="0"/>
          <w:color w:val="1A1A1A"/>
          <w:sz w:val="17"/>
        </w:rPr>
        <w:t xml:space="preserve"> compared oil signatures across the holding tank, reservoir, pre/post-filtration points and overhead tanks to isolate the source. Fill-and-drain gave no improvement, so escalated to manhole entry and pulse jetting, recovering a thick paste of dirt and rust likely dating to the unit's 1995 commissioning.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7"/>
        </w:rPr>
        <w:t>Depropaniser pump chronic failures (BRT):</w:t>
      </w:r>
      <w:r>
        <w:rPr>
          <w:rFonts w:ascii="Calibri" w:hAnsi="Calibri"/>
          <w:b w:val="0"/>
          <w:i w:val="0"/>
          <w:color w:val="1A1A1A"/>
          <w:sz w:val="17"/>
        </w:rPr>
        <w:t xml:space="preserve"> RCFA plus an </w:t>
      </w:r>
      <w:r>
        <w:rPr>
          <w:rFonts w:ascii="Calibri" w:hAnsi="Calibri"/>
          <w:b/>
          <w:i w:val="0"/>
          <w:color w:val="1A1A1A"/>
          <w:sz w:val="17"/>
        </w:rPr>
        <w:t>API 610</w:t>
      </w:r>
      <w:r>
        <w:rPr>
          <w:rFonts w:ascii="Calibri" w:hAnsi="Calibri"/>
          <w:b w:val="0"/>
          <w:i w:val="0"/>
          <w:color w:val="1A1A1A"/>
          <w:sz w:val="17"/>
        </w:rPr>
        <w:t xml:space="preserve"> review of hydraulic selection, mechanical seal configuration and operating envelope proved the pump was running outside its design point; corrective actions substantially extended run-life and closed out a repeat-failure bad actor.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7"/>
        </w:rPr>
        <w:t>Foundation cracking across multiple pumps and generators (BRT):</w:t>
      </w:r>
      <w:r>
        <w:rPr>
          <w:rFonts w:ascii="Calibri" w:hAnsi="Calibri"/>
          <w:b w:val="0"/>
          <w:i w:val="0"/>
          <w:color w:val="1A1A1A"/>
          <w:sz w:val="17"/>
        </w:rPr>
        <w:t xml:space="preserve"> led the RCA, established the causal chain and implemented structural reinforcement that restored integrity to the affected rotating equipment foundations.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7"/>
        </w:rPr>
        <w:t>Solar Taurus 60 gas turbine generator failure-to-crank:</w:t>
      </w:r>
      <w:r>
        <w:rPr>
          <w:rFonts w:ascii="Calibri" w:hAnsi="Calibri"/>
          <w:b w:val="0"/>
          <w:i w:val="0"/>
          <w:color w:val="1A1A1A"/>
          <w:sz w:val="17"/>
        </w:rPr>
        <w:t xml:space="preserve"> supported diagnosis and corrective action with the OEM, restoring power generation availability to the terminal.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7"/>
        </w:rPr>
        <w:t>Firewater diesel engine vibration (UBIT):</w:t>
      </w:r>
      <w:r>
        <w:rPr>
          <w:rFonts w:ascii="Calibri" w:hAnsi="Calibri"/>
          <w:b w:val="0"/>
          <w:i w:val="0"/>
          <w:color w:val="1A1A1A"/>
          <w:sz w:val="17"/>
        </w:rPr>
        <w:t xml:space="preserve"> resolved a long-standing vibration problem on a safety-critical package and validated performance against pump-curve criteria during deliverability testing.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Work with operations, maintenance, inspection and electrical teams to resolve </w:t>
      </w:r>
      <w:r>
        <w:rPr>
          <w:rFonts w:ascii="Calibri" w:hAnsi="Calibri"/>
          <w:b/>
          <w:i w:val="0"/>
          <w:color w:val="1A1A1A"/>
          <w:sz w:val="17"/>
        </w:rPr>
        <w:t>machinery vibration problems across pumps, diesel engines and electric motor drivers</w:t>
      </w:r>
      <w:r>
        <w:rPr>
          <w:rFonts w:ascii="Calibri" w:hAnsi="Calibri"/>
          <w:b w:val="0"/>
          <w:i w:val="0"/>
          <w:color w:val="1A1A1A"/>
          <w:sz w:val="17"/>
        </w:rPr>
        <w:t xml:space="preserve"> on several offshore platforms and onshore plants: field diagnosis through spectra, phase and alignment checks, corrective action, and post-repair verification against ISO limits.</w:t>
      </w:r>
    </w:p>
    <w:p>
      <w:pPr>
        <w:spacing w:before="80" w:after="20" w:line="240" w:lineRule="auto"/>
      </w:pPr>
      <w:r>
        <w:rPr>
          <w:rFonts w:ascii="Calibri" w:hAnsi="Calibri"/>
          <w:b/>
          <w:i w:val="0"/>
          <w:color w:val="1F5C8B"/>
          <w:sz w:val="17"/>
        </w:rPr>
        <w:t>Risk, Change Review, Projects &amp; Start-up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Contribute to </w:t>
      </w:r>
      <w:r>
        <w:rPr>
          <w:rFonts w:ascii="Calibri" w:hAnsi="Calibri"/>
          <w:b/>
          <w:i w:val="0"/>
          <w:color w:val="1A1A1A"/>
          <w:sz w:val="17"/>
        </w:rPr>
        <w:t>risk assessments, HAZID and safety reviews</w:t>
      </w:r>
      <w:r>
        <w:rPr>
          <w:rFonts w:ascii="Calibri" w:hAnsi="Calibri"/>
          <w:b w:val="0"/>
          <w:i w:val="0"/>
          <w:color w:val="1A1A1A"/>
          <w:sz w:val="17"/>
        </w:rPr>
        <w:t xml:space="preserve"> for machinery interventions, and prepare Lessons Learned under a </w:t>
      </w:r>
      <w:r>
        <w:rPr>
          <w:rFonts w:ascii="Calibri" w:hAnsi="Calibri"/>
          <w:b/>
          <w:i w:val="0"/>
          <w:color w:val="1A1A1A"/>
          <w:sz w:val="17"/>
        </w:rPr>
        <w:t>PDRR (Prevent, Detect, Respond, Recover)</w:t>
      </w:r>
      <w:r>
        <w:rPr>
          <w:rFonts w:ascii="Calibri" w:hAnsi="Calibri"/>
          <w:b w:val="0"/>
          <w:i w:val="0"/>
          <w:color w:val="1A1A1A"/>
          <w:sz w:val="17"/>
        </w:rPr>
        <w:t xml:space="preserve"> framework to prevent recurrence.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>Review equipment and system changes (MOC) for their effect on reliability, operability and maintainability; analyse deviations from specification and recommend accept/reject positions.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Strengthened the facility </w:t>
      </w:r>
      <w:r>
        <w:rPr>
          <w:rFonts w:ascii="Calibri" w:hAnsi="Calibri"/>
          <w:b/>
          <w:i w:val="0"/>
          <w:color w:val="1A1A1A"/>
          <w:sz w:val="17"/>
        </w:rPr>
        <w:t>Pre-Startup Safety Review (PSSR)</w:t>
      </w:r>
      <w:r>
        <w:rPr>
          <w:rFonts w:ascii="Calibri" w:hAnsi="Calibri"/>
          <w:b w:val="0"/>
          <w:i w:val="0"/>
          <w:color w:val="1A1A1A"/>
          <w:sz w:val="17"/>
        </w:rPr>
        <w:t xml:space="preserve"> process to capture previously uncaptured off-skid maintenance activities, and now tailor it to each bundle change-out, which typically carries non-standard off-skid scope, verifying safe restart readiness after maintenance and shutdowns.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Support shutdown and turnaround planning with an emphasis on </w:t>
      </w:r>
      <w:r>
        <w:rPr>
          <w:rFonts w:ascii="Calibri" w:hAnsi="Calibri"/>
          <w:b/>
          <w:i w:val="0"/>
          <w:color w:val="1A1A1A"/>
          <w:sz w:val="17"/>
        </w:rPr>
        <w:t>optimising machinery scope and duration</w:t>
      </w:r>
      <w:r>
        <w:rPr>
          <w:rFonts w:ascii="Calibri" w:hAnsi="Calibri"/>
          <w:b w:val="0"/>
          <w:i w:val="0"/>
          <w:color w:val="1A1A1A"/>
          <w:sz w:val="17"/>
        </w:rPr>
        <w:t>, and provide start-up, commissioning and OEM coordination for critical rotating equipment.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Provide discipline support to the </w:t>
      </w:r>
      <w:r>
        <w:rPr>
          <w:rFonts w:ascii="Calibri" w:hAnsi="Calibri"/>
          <w:b/>
          <w:i w:val="0"/>
          <w:color w:val="1A1A1A"/>
          <w:sz w:val="17"/>
        </w:rPr>
        <w:t>120 → 240 MMSCFD expansion</w:t>
      </w:r>
      <w:r>
        <w:rPr>
          <w:rFonts w:ascii="Calibri" w:hAnsi="Calibri"/>
          <w:b w:val="0"/>
          <w:i w:val="0"/>
          <w:color w:val="1A1A1A"/>
          <w:sz w:val="17"/>
        </w:rPr>
        <w:t>, reviewing machinery selection and integration of new equipment into the existing gas processing and NGL trains.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Manager, Business Innovations, Technology &amp; Efficiency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Jul 2022 – May 2025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17"/>
        </w:rPr>
        <w:t>First Independent Power Limited (FIPL) / Sahara Power Group, multi-site gas turbine power generation fired on natural and associated gas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Led </w:t>
      </w:r>
      <w:r>
        <w:rPr>
          <w:rFonts w:ascii="Calibri" w:hAnsi="Calibri"/>
          <w:b/>
          <w:i w:val="0"/>
          <w:color w:val="1A1A1A"/>
          <w:sz w:val="17"/>
        </w:rPr>
        <w:t>Reliability-Centred Maintenance (RCM)</w:t>
      </w:r>
      <w:r>
        <w:rPr>
          <w:rFonts w:ascii="Calibri" w:hAnsi="Calibri"/>
          <w:b w:val="0"/>
          <w:i w:val="0"/>
          <w:color w:val="1A1A1A"/>
          <w:sz w:val="17"/>
        </w:rPr>
        <w:t xml:space="preserve"> deployment across the generating fleet, improving availability and MTBF of critical rotating equipment through revised strategies and defect elimination.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Supervised </w:t>
      </w:r>
      <w:r>
        <w:rPr>
          <w:rFonts w:ascii="Calibri" w:hAnsi="Calibri"/>
          <w:b/>
          <w:i w:val="0"/>
          <w:color w:val="1A1A1A"/>
          <w:sz w:val="17"/>
        </w:rPr>
        <w:t>gas turbine performance testing to ASME PTC-22</w:t>
      </w:r>
      <w:r>
        <w:rPr>
          <w:rFonts w:ascii="Calibri" w:hAnsi="Calibri"/>
          <w:b w:val="0"/>
          <w:i w:val="0"/>
          <w:color w:val="1A1A1A"/>
          <w:sz w:val="17"/>
        </w:rPr>
        <w:t>: power output, heat rate and thermal efficiency verification, and used the results to drive degradation-recovery and washing decisions.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Managed OEM </w:t>
      </w:r>
      <w:r>
        <w:rPr>
          <w:rFonts w:ascii="Calibri" w:hAnsi="Calibri"/>
          <w:b/>
          <w:i w:val="0"/>
          <w:color w:val="1A1A1A"/>
          <w:sz w:val="17"/>
        </w:rPr>
        <w:t>Factory Acceptance Tests (FAT)</w:t>
      </w:r>
      <w:r>
        <w:rPr>
          <w:rFonts w:ascii="Calibri" w:hAnsi="Calibri"/>
          <w:b w:val="0"/>
          <w:i w:val="0"/>
          <w:color w:val="1A1A1A"/>
          <w:sz w:val="17"/>
        </w:rPr>
        <w:t xml:space="preserve"> for critical rotating equipment, witnessing performance and mechanical running tests and closing out punch items before shipment.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Seconded as </w:t>
      </w:r>
      <w:r>
        <w:rPr>
          <w:rFonts w:ascii="Calibri" w:hAnsi="Calibri"/>
          <w:b/>
          <w:i w:val="0"/>
          <w:color w:val="1A1A1A"/>
          <w:sz w:val="17"/>
        </w:rPr>
        <w:t>Lead Mechanical/Reliability Engineer</w:t>
      </w:r>
      <w:r>
        <w:rPr>
          <w:rFonts w:ascii="Calibri" w:hAnsi="Calibri"/>
          <w:b w:val="0"/>
          <w:i w:val="0"/>
          <w:color w:val="1A1A1A"/>
          <w:sz w:val="17"/>
        </w:rPr>
        <w:t xml:space="preserve"> for the restart of the Imo River Associated Gas Gathering (AGG) plant, an upstream associated-gas facility, after roughly two years of prolonged downtime: pre-commissioning checks, machinery alignment and verification, first fire and load-up support.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Designed and deployed </w:t>
      </w:r>
      <w:r>
        <w:rPr>
          <w:rFonts w:ascii="Calibri" w:hAnsi="Calibri"/>
          <w:b/>
          <w:i w:val="0"/>
          <w:color w:val="1A1A1A"/>
          <w:sz w:val="17"/>
        </w:rPr>
        <w:t>IIoT-based condition monitoring and predictive maintenance</w:t>
      </w:r>
      <w:r>
        <w:rPr>
          <w:rFonts w:ascii="Calibri" w:hAnsi="Calibri"/>
          <w:b w:val="0"/>
          <w:i w:val="0"/>
          <w:color w:val="1A1A1A"/>
          <w:sz w:val="17"/>
        </w:rPr>
        <w:t xml:space="preserve"> for gas turbines and compressors, enabling real-time machinery health visibility and delivering ~10% operational cost savings.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Cut compressor wash downtime by </w:t>
      </w:r>
      <w:r>
        <w:rPr>
          <w:rFonts w:ascii="Calibri" w:hAnsi="Calibri"/>
          <w:b/>
          <w:i w:val="0"/>
          <w:color w:val="1A1A1A"/>
          <w:sz w:val="17"/>
        </w:rPr>
        <w:t>more than 24 hours</w:t>
      </w:r>
      <w:r>
        <w:rPr>
          <w:rFonts w:ascii="Calibri" w:hAnsi="Calibri"/>
          <w:b w:val="0"/>
          <w:i w:val="0"/>
          <w:color w:val="1A1A1A"/>
          <w:sz w:val="17"/>
        </w:rPr>
        <w:t xml:space="preserve"> per event through procedure and scope optimisation.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Team Lead, Efficiency &amp; Innovation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Sep 2019 – Jun 2022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17"/>
        </w:rPr>
        <w:t>First Independent Power Limited (FIPL) / Sahara Power Group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Led major </w:t>
      </w:r>
      <w:r>
        <w:rPr>
          <w:rFonts w:ascii="Calibri" w:hAnsi="Calibri"/>
          <w:b/>
          <w:i w:val="0"/>
          <w:color w:val="1A1A1A"/>
          <w:sz w:val="17"/>
        </w:rPr>
        <w:t>gas turbine and compressor overhauls</w:t>
      </w:r>
      <w:r>
        <w:rPr>
          <w:rFonts w:ascii="Calibri" w:hAnsi="Calibri"/>
          <w:b w:val="0"/>
          <w:i w:val="0"/>
          <w:color w:val="1A1A1A"/>
          <w:sz w:val="17"/>
        </w:rPr>
        <w:t>: planning, clearance verification, rotor and bearing inspection, alignment and re-commissioning, delivering annual savings above NGN 10 million through improved spares management and maintenance planning.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Chaired cross-functional </w:t>
      </w:r>
      <w:r>
        <w:rPr>
          <w:rFonts w:ascii="Calibri" w:hAnsi="Calibri"/>
          <w:b/>
          <w:i w:val="0"/>
          <w:color w:val="1A1A1A"/>
          <w:sz w:val="17"/>
        </w:rPr>
        <w:t>RCA investigations</w:t>
      </w:r>
      <w:r>
        <w:rPr>
          <w:rFonts w:ascii="Calibri" w:hAnsi="Calibri"/>
          <w:b w:val="0"/>
          <w:i w:val="0"/>
          <w:color w:val="1A1A1A"/>
          <w:sz w:val="17"/>
        </w:rPr>
        <w:t xml:space="preserve"> into major turbomachinery failures and drove corrective actions that reduced repeat failures.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>Built real-time plant monitoring dashboards giving operations and maintenance immediate visibility of machinery health, vibration trends and process deviations.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>Coordinated emergency start-ups of critical turbine systems, minimising downtime and restoring generation.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Performance / QA-QC Engineer → Asst. Team Lead, Mechanical Maintenance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Nov 2015 – Sep 2019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17"/>
        </w:rPr>
        <w:t>First Independent Power Limited (FIPL) / Sahara Power Group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>Supervised maintenance of high-value turbomachinery and process equipment; delivered quality control during major inspections and overhauls to OEM and industry standards.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Applied condition monitoring: </w:t>
      </w:r>
      <w:r>
        <w:rPr>
          <w:rFonts w:ascii="Calibri" w:hAnsi="Calibri"/>
          <w:b/>
          <w:i w:val="0"/>
          <w:color w:val="1A1A1A"/>
          <w:sz w:val="17"/>
        </w:rPr>
        <w:t>vibration analysis, lube-oil analysis, thermography, dissolved gas analysis and motor current signature analysis</w:t>
      </w:r>
      <w:r>
        <w:rPr>
          <w:rFonts w:ascii="Calibri" w:hAnsi="Calibri"/>
          <w:b w:val="0"/>
          <w:i w:val="0"/>
          <w:color w:val="1A1A1A"/>
          <w:sz w:val="17"/>
        </w:rPr>
        <w:t>, to detect anomalies and prevent unplanned downtime.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>Contributed to review and update of operations and maintenance procedures, strengthening safety protocols and process efficiency.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Graduate Engineer, Mechanical Maintenance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Aug 2014 – Aug 2015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17"/>
        </w:rPr>
        <w:t>Sahara Power Group, Egbin Power Plc (1,320 MW thermal station)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>Participated in overhauls of steam turbines, gas turbines, diesel engines and balance-of-plant equipment (pumps, compressors, valves, steam traps, accumulators); gained hands-on exposure to demineralisation, water treatment, desalination and lube-oil/water chemistry systems.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Junior Engineer (Intern), Drillog Petro-Dynamics Ltd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Jun – Dec 2010</w:t>
            </w:r>
          </w:p>
        </w:tc>
      </w:tr>
    </w:tbl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>Maintained directional drilling motors and auto-torque equipment and performed QA/QC inspection of mud motors prior to rig deployment, first exposure to oil &amp; gas service operations.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Mechanical Trainee, Industrial Development Centre, Owerri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2008 &amp; 2009</w:t>
            </w:r>
          </w:p>
        </w:tc>
      </w:tr>
    </w:tbl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>Machining, bench work, precision alignment of rotating components and fault diagnosis using basic root cause techniques.</w:t>
      </w:r>
    </w:p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EDUCATION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4876"/>
        <w:gridCol w:w="4989"/>
      </w:tblGrid>
      <w:tr>
        <w:tc>
          <w:tcPr>
            <w:tcW w:type="dxa" w:w="4876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M.Eng Mechanical Engineering (Thermo-Fluids), in view</w:t>
            </w:r>
          </w:p>
        </w:tc>
        <w:tc>
          <w:tcPr>
            <w:tcW w:type="dxa" w:w="4989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Rivers State University, Port Harcourt</w:t>
            </w:r>
          </w:p>
        </w:tc>
      </w:tr>
    </w:tbl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4876"/>
        <w:gridCol w:w="4989"/>
      </w:tblGrid>
      <w:tr>
        <w:tc>
          <w:tcPr>
            <w:tcW w:type="dxa" w:w="4876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B.Eng Mechanical Engineering, Second Class Upper (2:1), 2012</w:t>
            </w:r>
          </w:p>
        </w:tc>
        <w:tc>
          <w:tcPr>
            <w:tcW w:type="dxa" w:w="4989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Federal University of Technology, Owerri (FUTO)</w:t>
            </w: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ROTATING EQUIPMENT PORTFOLIO: OEMS &amp; MODELS SUPPORTED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single" w:sz="4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2268"/>
        <w:gridCol w:w="7597"/>
      </w:tblGrid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Gas Turbines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Siemens SGT-600 • Solar Saturn, Centaur, Taurus and Mars families • GE Frame 5 (MS5001), Frame 9E (MS9001E) combined cycle and GT13E2 • Performance verification to ASME PTC-22; borescope, hot-section and mechanical maintenance support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Centrifugal Compressors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Siemens legacy Dresser-Rand centrifugal compressor family • HP trains to 5,500+ psi (120 MMSCFD) and LP trains to 1,440+ psi (130 MMSCFD) • Recompressors • Anti-surge and turbomachinery control (Honeywell CCC) • Seal-gas, dry-gas seal and lube-oil systems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Expanders &amp; Cryogenic Pumps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Turbo-expander / booster-compressor trains • Cryogenic pumps: Cryostar and Ebara Cryodynamics (Elliott Ebara) • NGL fractionation: de-ethaniser, de-propaniser, de-butaniser • Sales gas (C1/C2) and NGL (C3+) export systems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Pumps, Drivers &amp; Auxiliaries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API 610 centrifugal process pumps • Firewater diesel engine packages and deliverability testing • Steam turbines (Egbin 1,320 MW station) • Screw and reciprocating air compressors • Electric motor drivers and gearboxes • Lube-oil and seal-oil consoles, run-down tanks, coolers, filtration • Bearings, couplings, mechanical seals</w:t>
            </w: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CERTIFICATIONS &amp; PROFESSIONAL DEVELOPMENT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3288"/>
        <w:gridCol w:w="3288"/>
        <w:gridCol w:w="3288"/>
      </w:tblGrid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ASQ Certified Reliability Engineer (CRE), 2024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Vibration Analysis Category I, Istec Academy, 2024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Reliability Engineering Principles, Beina M&amp;R, 2024</w:t>
            </w:r>
          </w:p>
        </w:tc>
      </w:tr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Gas Turbine Performance, Entropy-Tech, 2021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Gas Turbine Mechanical Maintenance, Masaood John Brown, 2018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BOSIET with CA-EBS (2029) &amp; Offshore Safety Permit (OSP)</w:t>
            </w:r>
          </w:p>
        </w:tc>
      </w:tr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HSE Level I, II &amp; III (OSHA), HSETrain Intl., 2020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AI Advanced Applied Programme, Digital Regenesys, 2026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IBM AI Engineering, 2023 &amp; Generative AI and Agents, Johns Hopkins, 2026</w:t>
            </w: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PROFESSIONAL MEMBERSHIPS &amp; RECOGNITION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3288"/>
        <w:gridCol w:w="3288"/>
        <w:gridCol w:w="3288"/>
      </w:tblGrid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American Society for Quality (ASQ), 2024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Society of Petroleum Engineers (SPE), 2022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American Society of Mechanical Engineers (ASME), 2021</w:t>
            </w:r>
          </w:p>
        </w:tc>
      </w:tr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COREN Registered Engineer, 2019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Nigerian Society of Engineers (NSE), 2017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Safety Advocate of the Year, FIPL, 2023</w:t>
            </w:r>
          </w:p>
        </w:tc>
      </w:tr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Safety Sentinel Award, FIPL Trans-Amadi, 2023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1st Runner-Up, Sahara Group Innovation Hackathon, 2020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Chairman's Recognition for Innovation, Sahara Group, 2019</w:t>
            </w: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PERSONAL DETAILS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3288"/>
        <w:gridCol w:w="3288"/>
        <w:gridCol w:w="3288"/>
      </w:tblGrid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Date of birth: 25 September 1988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Nationality: Nigerian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Passport: valid, on request</w:t>
            </w:r>
          </w:p>
        </w:tc>
      </w:tr>
    </w:tbl>
    <w:p>
      <w:pPr>
        <w:spacing w:before="0" w:after="40" w:line="240" w:lineRule="auto"/>
        <w:jc w:val="both"/>
      </w:pPr>
      <w:r>
        <w:rPr>
          <w:rFonts w:ascii="Calibri" w:hAnsi="Calibri"/>
          <w:b/>
          <w:i w:val="0"/>
          <w:color w:val="1A1A1A"/>
          <w:sz w:val="17"/>
        </w:rPr>
        <w:t>Availability:</w:t>
      </w:r>
      <w:r>
        <w:rPr>
          <w:rFonts w:ascii="Calibri" w:hAnsi="Calibri"/>
          <w:b w:val="0"/>
          <w:i w:val="0"/>
          <w:color w:val="1A1A1A"/>
          <w:sz w:val="17"/>
        </w:rPr>
        <w:t xml:space="preserve"> immediate mobilisation for international assignment.   </w:t>
      </w:r>
      <w:r>
        <w:rPr>
          <w:rFonts w:ascii="Calibri" w:hAnsi="Calibri"/>
          <w:b/>
          <w:i w:val="0"/>
          <w:color w:val="1A1A1A"/>
          <w:sz w:val="17"/>
        </w:rPr>
        <w:t>References:</w:t>
      </w:r>
      <w:r>
        <w:rPr>
          <w:rFonts w:ascii="Calibri" w:hAnsi="Calibri"/>
          <w:b w:val="0"/>
          <w:i w:val="0"/>
          <w:color w:val="1A1A1A"/>
          <w:sz w:val="17"/>
        </w:rPr>
        <w:t xml:space="preserve"> available on request.</w:t>
      </w:r>
    </w:p>
    <w:sectPr w:rsidR="00FC693F" w:rsidRPr="0006063C" w:rsidSect="00034616">
      <w:footerReference w:type="default" r:id="rId9"/>
      <w:pgSz w:w="12240" w:h="15840"/>
      <w:pgMar w:top="595" w:right="1020" w:bottom="595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3F4A54"/>
        <w:sz w:val="16"/>
      </w:rPr>
      <w:t>Chukwuemeka Osmund Azodo, Rotating Equipment Engineer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Chukwuemeka Osmund Azodo - CV - Rotating Equipment Engineer</dc:title>
  <dc:subject>Application: Rotating Equipment Engineer, QatarEnergy LNG (Ras Laffan)</dc:subject>
  <dc:creator>Chukwuemeka Osmund Azodo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