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&amp; 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Rotating equipment and reliability authority for three offshore assets; deployed February 2026 as dedicated </w:t>
      </w:r>
      <w:r>
        <w:rPr>
          <w:rFonts w:ascii="Calibri" w:hAnsi="Calibri"/>
          <w:b/>
          <w:i w:val="0"/>
          <w:color w:val="1A1A1A"/>
          <w:sz w:val="18"/>
        </w:rPr>
        <w:t>Machinery/Reliability Lead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30-year lube-oil contamination problem: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a systematic system review exposed as-built vs. as-designed discrepancies behind chronic high differential pressure, rapid filter clogging and element collapse.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coordinated the first comprehensive run-down tank flushing campaign in decades.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