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A8432A"/>
          <w:sz w:val="72"/>
          <w:szCs w:val="72"/>
        </w:rPr>
        <w:t xml:space="preserve">TERRA</w:t>
      </w:r>
    </w:p>
    <w:p>
      <w:pPr>
        <w:spacing w:after="400" w:before="150"/>
        <w:jc w:val="center"/>
      </w:pPr>
      <w:r>
        <w:rPr>
          <w:color w:val="1C1A15"/>
          <w:sz w:val="26"/>
          <w:szCs w:val="26"/>
        </w:rPr>
        <w:t xml:space="preserve">Documentation technique et fonctionnelle du projet</w:t>
      </w:r>
    </w:p>
    <w:p>
      <w:pPr>
        <w:jc w:val="center"/>
      </w:pPr>
      <w:r>
        <w:rPr>
          <w:i/>
          <w:iCs/>
          <w:sz w:val="22"/>
          <w:szCs w:val="22"/>
        </w:rPr>
        <w:t xml:space="preserve">NextStep Hacks 2026 — Thème : Earth Forward</w:t>
      </w:r>
    </w:p>
    <w:p>
      <w:pPr>
        <w:spacing w:before="800"/>
        <w:jc w:val="center"/>
      </w:pPr>
      <w:r>
        <w:rPr>
          <w:sz w:val="20"/>
          <w:szCs w:val="20"/>
        </w:rPr>
        <w:t xml:space="preserve">Version 1.0</w:t>
      </w:r>
    </w:p>
    <w:p>
      <w:r>
        <w:br w:type="page"/>
      </w:r>
    </w:p>
    <w:p>
      <w:pPr>
        <w:pStyle w:val="Heading1"/>
        <w:spacing w:after="200" w:before="400"/>
      </w:pPr>
      <w:r>
        <w:t xml:space="preserve">1. Présentation du projet</w:t>
      </w:r>
    </w:p>
    <w:p>
      <w:pPr>
        <w:pStyle w:val="Heading2"/>
        <w:spacing w:after="150" w:before="300"/>
      </w:pPr>
      <w:r>
        <w:t xml:space="preserve">1.1 Résumé</w:t>
      </w:r>
    </w:p>
    <w:p>
      <w:pPr>
        <w:spacing w:after="160"/>
      </w:pPr>
      <w:r>
        <w:t xml:space="preserve">Terra est une application mobile offline-first destinée aux communautés rurales, conçue pour le hackathon NextStep Hacks 2026 sur le thème « Earth Forward ». Elle réunit sur une seule plateforme trois problématiques environnementales interconnectées — la santé des cultures, la gestion des déchets communautaires, et le suivi de l'état écologique local — et les rend accessibles même sans connexion internet.</w:t>
      </w:r>
    </w:p>
    <w:p>
      <w:pPr>
        <w:spacing w:after="160"/>
      </w:pPr>
      <w:r>
        <w:t xml:space="preserve">L'application fonctionne comme un seul écosystème de données : chaque signal remonté par les utilisateurs (un diagnostic de plante, un signalement de déchets) alimente un tableau de bord communautaire qui donne une image collective de la santé environnementale du quartier ou du village.</w:t>
      </w:r>
    </w:p>
    <w:p>
      <w:pPr>
        <w:pStyle w:val="Heading2"/>
        <w:spacing w:after="150" w:before="300"/>
      </w:pPr>
      <w:r>
        <w:t xml:space="preserve">1.2 Problématique</w:t>
      </w:r>
    </w:p>
    <w:p>
      <w:pPr>
        <w:spacing w:after="160"/>
      </w:pPr>
      <w:r>
        <w:t xml:space="preserve">Les communautés rurales, en particulier en Afrique subsaharienne, sont en première ligne face aux défis environnementaux (maladies des cultures, gestion des déchets, dégradation des écosystèmes) mais disposent rarement d'outils numériques adaptés à leur réalité : connectivité intermittente, multilinguisme, faible littératie numérique.</w:t>
      </w:r>
    </w:p>
    <w:p>
      <w:pPr>
        <w:pStyle w:val="Heading2"/>
        <w:spacing w:after="150" w:before="300"/>
      </w:pPr>
      <w:r>
        <w:t xml:space="preserve">1.3 Objectifs du projet</w:t>
      </w:r>
    </w:p>
    <w:p>
      <w:pPr>
        <w:pStyle w:val="ListParagraph"/>
        <w:numPr>
          <w:ilvl w:val="0"/>
          <w:numId w:val="1"/>
        </w:numPr>
        <w:spacing w:after="80"/>
      </w:pPr>
      <w:r>
        <w:t xml:space="preserve">Donner aux agriculteurs un diagnostic rapide et fiable des maladies de leurs cultures, avec des conseils dans leur langue.</w:t>
      </w:r>
    </w:p>
    <w:p>
      <w:pPr>
        <w:pStyle w:val="ListParagraph"/>
        <w:numPr>
          <w:ilvl w:val="0"/>
          <w:numId w:val="1"/>
        </w:numPr>
        <w:spacing w:after="80"/>
      </w:pPr>
      <w:r>
        <w:t xml:space="preserve">Organiser la gestion communautaire des déchets par un signalement simple et un dispatch de la collecte.</w:t>
      </w:r>
    </w:p>
    <w:p>
      <w:pPr>
        <w:pStyle w:val="ListParagraph"/>
        <w:numPr>
          <w:ilvl w:val="0"/>
          <w:numId w:val="1"/>
        </w:numPr>
        <w:spacing w:after="80"/>
      </w:pPr>
      <w:r>
        <w:t xml:space="preserve">Agréger ces signaux en un indicateur de santé environnementale visible par toute la communauté.</w:t>
      </w:r>
    </w:p>
    <w:p>
      <w:pPr>
        <w:pStyle w:val="ListParagraph"/>
        <w:numPr>
          <w:ilvl w:val="0"/>
          <w:numId w:val="1"/>
        </w:numPr>
        <w:spacing w:after="80"/>
      </w:pPr>
      <w:r>
        <w:t xml:space="preserve">Rester utilisable sans connexion internet, avec synchronisation automatique dès qu'une connexion est disponible.</w:t>
      </w:r>
    </w:p>
    <w:p>
      <w:pPr>
        <w:pStyle w:val="ListParagraph"/>
        <w:numPr>
          <w:ilvl w:val="0"/>
          <w:numId w:val="1"/>
        </w:numPr>
        <w:spacing w:after="80"/>
      </w:pPr>
      <w:r>
        <w:t xml:space="preserve">Offrir un assistant conversationnel qui guide l'utilisateur vers la bonne fonctionnalité et répond aux questions courantes.</w:t>
      </w:r>
    </w:p>
    <w:p>
      <w:pPr>
        <w:pStyle w:val="Heading2"/>
        <w:spacing w:after="150" w:before="300"/>
      </w:pPr>
      <w:r>
        <w:t xml:space="preserve">1.4 Utilisateurs cibles</w:t>
      </w:r>
    </w:p>
    <w:p>
      <w:pPr>
        <w:pStyle w:val="ListParagraph"/>
        <w:numPr>
          <w:ilvl w:val="0"/>
          <w:numId w:val="1"/>
        </w:numPr>
        <w:spacing w:after="80"/>
      </w:pPr>
      <w:r>
        <w:t xml:space="preserve">Agriculteurs et habitants de communautés rurales à connectivité limitée.</w:t>
      </w:r>
    </w:p>
    <w:p>
      <w:pPr>
        <w:pStyle w:val="ListParagraph"/>
        <w:numPr>
          <w:ilvl w:val="0"/>
          <w:numId w:val="1"/>
        </w:numPr>
        <w:spacing w:after="80"/>
      </w:pPr>
      <w:r>
        <w:t xml:space="preserve">Bénévoles et responsables communautaires en charge de la collecte des déchets.</w:t>
      </w:r>
    </w:p>
    <w:p>
      <w:pPr>
        <w:pStyle w:val="ListParagraph"/>
        <w:numPr>
          <w:ilvl w:val="0"/>
          <w:numId w:val="1"/>
        </w:numPr>
        <w:spacing w:after="80"/>
      </w:pPr>
      <w:r>
        <w:t xml:space="preserve">Organisations locales (agricoles, environnementales) pouvant s'appuyer sur les données agrégées et anonymisées.</w:t>
      </w:r>
    </w:p>
    <w:p>
      <w:pPr>
        <w:pStyle w:val="Heading1"/>
        <w:spacing w:after="200" w:before="400"/>
      </w:pPr>
      <w:r>
        <w:t xml:space="preserve">2. Architecture technique</w:t>
      </w:r>
    </w:p>
    <w:p>
      <w:pPr>
        <w:pStyle w:val="Heading2"/>
        <w:spacing w:after="150" w:before="300"/>
      </w:pPr>
      <w:r>
        <w:t xml:space="preserve">2.1 Vue d'ensemble de la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rPr>
          <w:tblHeader/>
        </w:trPr>
        <w:tc>
          <w:tcPr>
            <w:tcW w:type="dxa" w:w="2800"/>
            <w:shd w:fill="20241F" w:color="auto" w:val="clear"/>
            <w:tcMar>
              <w:top w:type="dxa" w:w="80"/>
              <w:left w:type="dxa" w:w="100"/>
              <w:bottom w:type="dxa" w:w="80"/>
              <w:right w:type="dxa" w:w="100"/>
            </w:tcMar>
            <w:vAlign w:val="center"/>
          </w:tcPr>
          <w:p>
            <w:pPr>
              <w:jc w:val="left"/>
            </w:pPr>
            <w:r>
              <w:rPr>
                <w:b/>
                <w:bCs/>
                <w:color w:val="FFFFFF"/>
                <w:sz w:val="19"/>
                <w:szCs w:val="19"/>
              </w:rPr>
              <w:t xml:space="preserve">Composant</w:t>
            </w:r>
          </w:p>
        </w:tc>
        <w:tc>
          <w:tcPr>
            <w:tcW w:type="dxa" w:w="3000"/>
            <w:shd w:fill="20241F" w:color="auto" w:val="clear"/>
            <w:tcMar>
              <w:top w:type="dxa" w:w="80"/>
              <w:left w:type="dxa" w:w="100"/>
              <w:bottom w:type="dxa" w:w="80"/>
              <w:right w:type="dxa" w:w="100"/>
            </w:tcMar>
            <w:vAlign w:val="center"/>
          </w:tcPr>
          <w:p>
            <w:pPr>
              <w:jc w:val="left"/>
            </w:pPr>
            <w:r>
              <w:rPr>
                <w:b/>
                <w:bCs/>
                <w:color w:val="FFFFFF"/>
                <w:sz w:val="19"/>
                <w:szCs w:val="19"/>
              </w:rPr>
              <w:t xml:space="preserve">Technologie</w:t>
            </w:r>
          </w:p>
        </w:tc>
        <w:tc>
          <w:tcPr>
            <w:tcW w:type="dxa" w:w="3600"/>
            <w:shd w:fill="20241F" w:color="auto" w:val="clear"/>
            <w:tcMar>
              <w:top w:type="dxa" w:w="80"/>
              <w:left w:type="dxa" w:w="100"/>
              <w:bottom w:type="dxa" w:w="80"/>
              <w:right w:type="dxa" w:w="100"/>
            </w:tcMar>
            <w:vAlign w:val="center"/>
          </w:tcPr>
          <w:p>
            <w:pPr>
              <w:jc w:val="left"/>
            </w:pPr>
            <w:r>
              <w:rPr>
                <w:b/>
                <w:bCs/>
                <w:color w:val="FFFFFF"/>
                <w:sz w:val="19"/>
                <w:szCs w:val="19"/>
              </w:rPr>
              <w:t xml:space="preserve">Rôle</w:t>
            </w:r>
          </w:p>
        </w:tc>
      </w:tr>
      <w:tr>
        <w:tc>
          <w:tcPr>
            <w:tcW w:type="dxa" w:w="2800"/>
            <w:shd w:fill="FFFFFF" w:color="auto" w:val="clear"/>
            <w:tcMar>
              <w:top w:type="dxa" w:w="80"/>
              <w:left w:type="dxa" w:w="100"/>
              <w:bottom w:type="dxa" w:w="80"/>
              <w:right w:type="dxa" w:w="100"/>
            </w:tcMar>
            <w:vAlign w:val="center"/>
          </w:tcPr>
          <w:p>
            <w:pPr>
              <w:jc w:val="left"/>
            </w:pPr>
            <w:r>
              <w:rPr>
                <w:b w:val="false"/>
                <w:bCs w:val="false"/>
                <w:sz w:val="19"/>
                <w:szCs w:val="19"/>
              </w:rPr>
              <w:t xml:space="preserve">Frontend mobile</w:t>
            </w:r>
          </w:p>
        </w:tc>
        <w:tc>
          <w:tcPr>
            <w:tcW w:type="dxa" w:w="3000"/>
            <w:shd w:fill="FFFFFF" w:color="auto" w:val="clear"/>
            <w:tcMar>
              <w:top w:type="dxa" w:w="80"/>
              <w:left w:type="dxa" w:w="100"/>
              <w:bottom w:type="dxa" w:w="80"/>
              <w:right w:type="dxa" w:w="100"/>
            </w:tcMar>
            <w:vAlign w:val="center"/>
          </w:tcPr>
          <w:p>
            <w:pPr>
              <w:jc w:val="left"/>
            </w:pPr>
            <w:r>
              <w:rPr>
                <w:b w:val="false"/>
                <w:bCs w:val="false"/>
                <w:sz w:val="19"/>
                <w:szCs w:val="19"/>
              </w:rPr>
              <w:t xml:space="preserve">React Native (Expo)</w:t>
            </w:r>
          </w:p>
        </w:tc>
        <w:tc>
          <w:tcPr>
            <w:tcW w:type="dxa" w:w="3600"/>
            <w:shd w:fill="FFFFFF" w:color="auto" w:val="clear"/>
            <w:tcMar>
              <w:top w:type="dxa" w:w="80"/>
              <w:left w:type="dxa" w:w="100"/>
              <w:bottom w:type="dxa" w:w="80"/>
              <w:right w:type="dxa" w:w="100"/>
            </w:tcMar>
            <w:vAlign w:val="center"/>
          </w:tcPr>
          <w:p>
            <w:pPr>
              <w:jc w:val="left"/>
            </w:pPr>
            <w:r>
              <w:rPr>
                <w:b w:val="false"/>
                <w:bCs w:val="false"/>
                <w:sz w:val="19"/>
                <w:szCs w:val="19"/>
              </w:rPr>
              <w:t xml:space="preserve">Application mobile unique pour Android/iOS, cohérente avec la maquette validée</w:t>
            </w:r>
          </w:p>
        </w:tc>
      </w:tr>
      <w:tr>
        <w:tc>
          <w:tcPr>
            <w:tcW w:type="dxa" w:w="2800"/>
            <w:shd w:fill="F6F0E2" w:color="auto" w:val="clear"/>
            <w:tcMar>
              <w:top w:type="dxa" w:w="80"/>
              <w:left w:type="dxa" w:w="100"/>
              <w:bottom w:type="dxa" w:w="80"/>
              <w:right w:type="dxa" w:w="100"/>
            </w:tcMar>
            <w:vAlign w:val="center"/>
          </w:tcPr>
          <w:p>
            <w:pPr>
              <w:jc w:val="left"/>
            </w:pPr>
            <w:r>
              <w:rPr>
                <w:b w:val="false"/>
                <w:bCs w:val="false"/>
                <w:sz w:val="19"/>
                <w:szCs w:val="19"/>
              </w:rPr>
              <w:t xml:space="preserve">Backend / BaaS</w:t>
            </w:r>
          </w:p>
        </w:tc>
        <w:tc>
          <w:tcPr>
            <w:tcW w:type="dxa" w:w="3000"/>
            <w:shd w:fill="F6F0E2" w:color="auto" w:val="clear"/>
            <w:tcMar>
              <w:top w:type="dxa" w:w="80"/>
              <w:left w:type="dxa" w:w="100"/>
              <w:bottom w:type="dxa" w:w="80"/>
              <w:right w:type="dxa" w:w="100"/>
            </w:tcMar>
            <w:vAlign w:val="center"/>
          </w:tcPr>
          <w:p>
            <w:pPr>
              <w:jc w:val="left"/>
            </w:pPr>
            <w:r>
              <w:rPr>
                <w:b w:val="false"/>
                <w:bCs w:val="false"/>
                <w:sz w:val="19"/>
                <w:szCs w:val="19"/>
              </w:rPr>
              <w:t xml:space="preserve">Supabase (PostgreSQL)</w:t>
            </w:r>
          </w:p>
        </w:tc>
        <w:tc>
          <w:tcPr>
            <w:tcW w:type="dxa" w:w="3600"/>
            <w:shd w:fill="F6F0E2" w:color="auto" w:val="clear"/>
            <w:tcMar>
              <w:top w:type="dxa" w:w="80"/>
              <w:left w:type="dxa" w:w="100"/>
              <w:bottom w:type="dxa" w:w="80"/>
              <w:right w:type="dxa" w:w="100"/>
            </w:tcMar>
            <w:vAlign w:val="center"/>
          </w:tcPr>
          <w:p>
            <w:pPr>
              <w:jc w:val="left"/>
            </w:pPr>
            <w:r>
              <w:rPr>
                <w:b w:val="false"/>
                <w:bCs w:val="false"/>
                <w:sz w:val="19"/>
                <w:szCs w:val="19"/>
              </w:rPr>
              <w:t xml:space="preserve">Base de données, authentification, stockage des images, API auto-générée</w:t>
            </w:r>
          </w:p>
        </w:tc>
      </w:tr>
      <w:tr>
        <w:tc>
          <w:tcPr>
            <w:tcW w:type="dxa" w:w="2800"/>
            <w:shd w:fill="FFFFFF" w:color="auto" w:val="clear"/>
            <w:tcMar>
              <w:top w:type="dxa" w:w="80"/>
              <w:left w:type="dxa" w:w="100"/>
              <w:bottom w:type="dxa" w:w="80"/>
              <w:right w:type="dxa" w:w="100"/>
            </w:tcMar>
            <w:vAlign w:val="center"/>
          </w:tcPr>
          <w:p>
            <w:pPr>
              <w:jc w:val="left"/>
            </w:pPr>
            <w:r>
              <w:rPr>
                <w:b w:val="false"/>
                <w:bCs w:val="false"/>
                <w:sz w:val="19"/>
                <w:szCs w:val="19"/>
              </w:rPr>
              <w:t xml:space="preserve">Stockage local</w:t>
            </w:r>
          </w:p>
        </w:tc>
        <w:tc>
          <w:tcPr>
            <w:tcW w:type="dxa" w:w="3000"/>
            <w:shd w:fill="FFFFFF" w:color="auto" w:val="clear"/>
            <w:tcMar>
              <w:top w:type="dxa" w:w="80"/>
              <w:left w:type="dxa" w:w="100"/>
              <w:bottom w:type="dxa" w:w="80"/>
              <w:right w:type="dxa" w:w="100"/>
            </w:tcMar>
            <w:vAlign w:val="center"/>
          </w:tcPr>
          <w:p>
            <w:pPr>
              <w:jc w:val="left"/>
            </w:pPr>
            <w:r>
              <w:rPr>
                <w:b w:val="false"/>
                <w:bCs w:val="false"/>
                <w:sz w:val="19"/>
                <w:szCs w:val="19"/>
              </w:rPr>
              <w:t xml:space="preserve">SQLite (expo-sqlite) + AsyncStorage</w:t>
            </w:r>
          </w:p>
        </w:tc>
        <w:tc>
          <w:tcPr>
            <w:tcW w:type="dxa" w:w="3600"/>
            <w:shd w:fill="FFFFFF" w:color="auto" w:val="clear"/>
            <w:tcMar>
              <w:top w:type="dxa" w:w="80"/>
              <w:left w:type="dxa" w:w="100"/>
              <w:bottom w:type="dxa" w:w="80"/>
              <w:right w:type="dxa" w:w="100"/>
            </w:tcMar>
            <w:vAlign w:val="center"/>
          </w:tcPr>
          <w:p>
            <w:pPr>
              <w:jc w:val="left"/>
            </w:pPr>
            <w:r>
              <w:rPr>
                <w:b w:val="false"/>
                <w:bCs w:val="false"/>
                <w:sz w:val="19"/>
                <w:szCs w:val="19"/>
              </w:rPr>
              <w:t xml:space="preserve">Persistance offline des données et des préférences avant synchronisation</w:t>
            </w:r>
          </w:p>
        </w:tc>
      </w:tr>
      <w:tr>
        <w:tc>
          <w:tcPr>
            <w:tcW w:type="dxa" w:w="2800"/>
            <w:shd w:fill="F6F0E2" w:color="auto" w:val="clear"/>
            <w:tcMar>
              <w:top w:type="dxa" w:w="80"/>
              <w:left w:type="dxa" w:w="100"/>
              <w:bottom w:type="dxa" w:w="80"/>
              <w:right w:type="dxa" w:w="100"/>
            </w:tcMar>
            <w:vAlign w:val="center"/>
          </w:tcPr>
          <w:p>
            <w:pPr>
              <w:jc w:val="left"/>
            </w:pPr>
            <w:r>
              <w:rPr>
                <w:b w:val="false"/>
                <w:bCs w:val="false"/>
                <w:sz w:val="19"/>
                <w:szCs w:val="19"/>
              </w:rPr>
              <w:t xml:space="preserve">IA — diagnostic plantes</w:t>
            </w:r>
          </w:p>
        </w:tc>
        <w:tc>
          <w:tcPr>
            <w:tcW w:type="dxa" w:w="3000"/>
            <w:shd w:fill="F6F0E2" w:color="auto" w:val="clear"/>
            <w:tcMar>
              <w:top w:type="dxa" w:w="80"/>
              <w:left w:type="dxa" w:w="100"/>
              <w:bottom w:type="dxa" w:w="80"/>
              <w:right w:type="dxa" w:w="100"/>
            </w:tcMar>
            <w:vAlign w:val="center"/>
          </w:tcPr>
          <w:p>
            <w:pPr>
              <w:jc w:val="left"/>
            </w:pPr>
            <w:r>
              <w:rPr>
                <w:b w:val="false"/>
                <w:bCs w:val="false"/>
                <w:sz w:val="19"/>
                <w:szCs w:val="19"/>
              </w:rPr>
              <w:t xml:space="preserve">Modèle de classification embarqué (TensorFlow Lite)</w:t>
            </w:r>
          </w:p>
        </w:tc>
        <w:tc>
          <w:tcPr>
            <w:tcW w:type="dxa" w:w="3600"/>
            <w:shd w:fill="F6F0E2" w:color="auto" w:val="clear"/>
            <w:tcMar>
              <w:top w:type="dxa" w:w="80"/>
              <w:left w:type="dxa" w:w="100"/>
              <w:bottom w:type="dxa" w:w="80"/>
              <w:right w:type="dxa" w:w="100"/>
            </w:tcMar>
            <w:vAlign w:val="center"/>
          </w:tcPr>
          <w:p>
            <w:pPr>
              <w:jc w:val="left"/>
            </w:pPr>
            <w:r>
              <w:rPr>
                <w:b w:val="false"/>
                <w:bCs w:val="false"/>
                <w:sz w:val="19"/>
                <w:szCs w:val="19"/>
              </w:rPr>
              <w:t xml:space="preserve">Reconnaissance des maladies à partir d'une photo, fonctionne hors ligne</w:t>
            </w:r>
          </w:p>
        </w:tc>
      </w:tr>
      <w:tr>
        <w:tc>
          <w:tcPr>
            <w:tcW w:type="dxa" w:w="2800"/>
            <w:shd w:fill="FFFFFF" w:color="auto" w:val="clear"/>
            <w:tcMar>
              <w:top w:type="dxa" w:w="80"/>
              <w:left w:type="dxa" w:w="100"/>
              <w:bottom w:type="dxa" w:w="80"/>
              <w:right w:type="dxa" w:w="100"/>
            </w:tcMar>
            <w:vAlign w:val="center"/>
          </w:tcPr>
          <w:p>
            <w:pPr>
              <w:jc w:val="left"/>
            </w:pPr>
            <w:r>
              <w:rPr>
                <w:b w:val="false"/>
                <w:bCs w:val="false"/>
                <w:sz w:val="19"/>
                <w:szCs w:val="19"/>
              </w:rPr>
              <w:t xml:space="preserve">IA — assistant conversationnel</w:t>
            </w:r>
          </w:p>
        </w:tc>
        <w:tc>
          <w:tcPr>
            <w:tcW w:type="dxa" w:w="3000"/>
            <w:shd w:fill="FFFFFF" w:color="auto" w:val="clear"/>
            <w:tcMar>
              <w:top w:type="dxa" w:w="80"/>
              <w:left w:type="dxa" w:w="100"/>
              <w:bottom w:type="dxa" w:w="80"/>
              <w:right w:type="dxa" w:w="100"/>
            </w:tcMar>
            <w:vAlign w:val="center"/>
          </w:tcPr>
          <w:p>
            <w:pPr>
              <w:jc w:val="left"/>
            </w:pPr>
            <w:r>
              <w:rPr>
                <w:b w:val="false"/>
                <w:bCs w:val="false"/>
                <w:sz w:val="19"/>
                <w:szCs w:val="19"/>
              </w:rPr>
              <w:t xml:space="preserve">Moteur de règles/intentions local + API Claude en ligne</w:t>
            </w:r>
          </w:p>
        </w:tc>
        <w:tc>
          <w:tcPr>
            <w:tcW w:type="dxa" w:w="3600"/>
            <w:shd w:fill="FFFFFF" w:color="auto" w:val="clear"/>
            <w:tcMar>
              <w:top w:type="dxa" w:w="80"/>
              <w:left w:type="dxa" w:w="100"/>
              <w:bottom w:type="dxa" w:w="80"/>
              <w:right w:type="dxa" w:w="100"/>
            </w:tcMar>
            <w:vAlign w:val="center"/>
          </w:tcPr>
          <w:p>
            <w:pPr>
              <w:jc w:val="left"/>
            </w:pPr>
            <w:r>
              <w:rPr>
                <w:b w:val="false"/>
                <w:bCs w:val="false"/>
                <w:sz w:val="19"/>
                <w:szCs w:val="19"/>
              </w:rPr>
              <w:t xml:space="preserve">Réponses de base hors ligne, réponses enrichies dès qu'une connexion existe</w:t>
            </w:r>
          </w:p>
        </w:tc>
      </w:tr>
      <w:tr>
        <w:tc>
          <w:tcPr>
            <w:tcW w:type="dxa" w:w="2800"/>
            <w:shd w:fill="F6F0E2" w:color="auto" w:val="clear"/>
            <w:tcMar>
              <w:top w:type="dxa" w:w="80"/>
              <w:left w:type="dxa" w:w="100"/>
              <w:bottom w:type="dxa" w:w="80"/>
              <w:right w:type="dxa" w:w="100"/>
            </w:tcMar>
            <w:vAlign w:val="center"/>
          </w:tcPr>
          <w:p>
            <w:pPr>
              <w:jc w:val="left"/>
            </w:pPr>
            <w:r>
              <w:rPr>
                <w:b w:val="false"/>
                <w:bCs w:val="false"/>
                <w:sz w:val="19"/>
                <w:szCs w:val="19"/>
              </w:rPr>
              <w:t xml:space="preserve">Authentification</w:t>
            </w:r>
          </w:p>
        </w:tc>
        <w:tc>
          <w:tcPr>
            <w:tcW w:type="dxa" w:w="3000"/>
            <w:shd w:fill="F6F0E2" w:color="auto" w:val="clear"/>
            <w:tcMar>
              <w:top w:type="dxa" w:w="80"/>
              <w:left w:type="dxa" w:w="100"/>
              <w:bottom w:type="dxa" w:w="80"/>
              <w:right w:type="dxa" w:w="100"/>
            </w:tcMar>
            <w:vAlign w:val="center"/>
          </w:tcPr>
          <w:p>
            <w:pPr>
              <w:jc w:val="left"/>
            </w:pPr>
            <w:r>
              <w:rPr>
                <w:b w:val="false"/>
                <w:bCs w:val="false"/>
                <w:sz w:val="19"/>
                <w:szCs w:val="19"/>
              </w:rPr>
              <w:t xml:space="preserve">Supabase Auth</w:t>
            </w:r>
          </w:p>
        </w:tc>
        <w:tc>
          <w:tcPr>
            <w:tcW w:type="dxa" w:w="3600"/>
            <w:shd w:fill="F6F0E2" w:color="auto" w:val="clear"/>
            <w:tcMar>
              <w:top w:type="dxa" w:w="80"/>
              <w:left w:type="dxa" w:w="100"/>
              <w:bottom w:type="dxa" w:w="80"/>
              <w:right w:type="dxa" w:w="100"/>
            </w:tcMar>
            <w:vAlign w:val="center"/>
          </w:tcPr>
          <w:p>
            <w:pPr>
              <w:jc w:val="left"/>
            </w:pPr>
            <w:r>
              <w:rPr>
                <w:b w:val="false"/>
                <w:bCs w:val="false"/>
                <w:sz w:val="19"/>
                <w:szCs w:val="19"/>
              </w:rPr>
              <w:t xml:space="preserve">Comptes utilisateurs par numéro de téléphone ou identifiant communautaire</w:t>
            </w:r>
          </w:p>
        </w:tc>
      </w:tr>
      <w:tr>
        <w:tc>
          <w:tcPr>
            <w:tcW w:type="dxa" w:w="2800"/>
            <w:shd w:fill="FFFFFF" w:color="auto" w:val="clear"/>
            <w:tcMar>
              <w:top w:type="dxa" w:w="80"/>
              <w:left w:type="dxa" w:w="100"/>
              <w:bottom w:type="dxa" w:w="80"/>
              <w:right w:type="dxa" w:w="100"/>
            </w:tcMar>
            <w:vAlign w:val="center"/>
          </w:tcPr>
          <w:p>
            <w:pPr>
              <w:jc w:val="left"/>
            </w:pPr>
            <w:r>
              <w:rPr>
                <w:b w:val="false"/>
                <w:bCs w:val="false"/>
                <w:sz w:val="19"/>
                <w:szCs w:val="19"/>
              </w:rPr>
              <w:t xml:space="preserve">Contrôle de version</w:t>
            </w:r>
          </w:p>
        </w:tc>
        <w:tc>
          <w:tcPr>
            <w:tcW w:type="dxa" w:w="3000"/>
            <w:shd w:fill="FFFFFF" w:color="auto" w:val="clear"/>
            <w:tcMar>
              <w:top w:type="dxa" w:w="80"/>
              <w:left w:type="dxa" w:w="100"/>
              <w:bottom w:type="dxa" w:w="80"/>
              <w:right w:type="dxa" w:w="100"/>
            </w:tcMar>
            <w:vAlign w:val="center"/>
          </w:tcPr>
          <w:p>
            <w:pPr>
              <w:jc w:val="left"/>
            </w:pPr>
            <w:r>
              <w:rPr>
                <w:b w:val="false"/>
                <w:bCs w:val="false"/>
                <w:sz w:val="19"/>
                <w:szCs w:val="19"/>
              </w:rPr>
              <w:t xml:space="preserve">Git / GitHub</w:t>
            </w:r>
          </w:p>
        </w:tc>
        <w:tc>
          <w:tcPr>
            <w:tcW w:type="dxa" w:w="3600"/>
            <w:shd w:fill="FFFFFF" w:color="auto" w:val="clear"/>
            <w:tcMar>
              <w:top w:type="dxa" w:w="80"/>
              <w:left w:type="dxa" w:w="100"/>
              <w:bottom w:type="dxa" w:w="80"/>
              <w:right w:type="dxa" w:w="100"/>
            </w:tcMar>
            <w:vAlign w:val="center"/>
          </w:tcPr>
          <w:p>
            <w:pPr>
              <w:jc w:val="left"/>
            </w:pPr>
            <w:r>
              <w:rPr>
                <w:b w:val="false"/>
                <w:bCs w:val="false"/>
                <w:sz w:val="19"/>
                <w:szCs w:val="19"/>
              </w:rPr>
              <w:t xml:space="preserve">Historique du code, revue de code, travail en parallèle à 4</w:t>
            </w:r>
          </w:p>
        </w:tc>
      </w:tr>
    </w:tbl>
    <w:p>
      <w:pPr>
        <w:pStyle w:val="Heading2"/>
        <w:spacing w:after="150" w:before="300"/>
      </w:pPr>
      <w:r>
        <w:t xml:space="preserve">2.2 Principe offline-first</w:t>
      </w:r>
    </w:p>
    <w:p>
      <w:pPr>
        <w:spacing w:after="160"/>
      </w:pPr>
      <w:r>
        <w:t xml:space="preserve">Toutes les actions de l'utilisateur (diagnostic, signalement, message au chatbot, changement de réglage) sont d'abord écrites dans la base locale SQLite avec un statut « en attente ». Une file de synchronisation tente régulièrement d'envoyer ces éléments vers Supabase dès qu'une connexion réseau est détectée. Une fois synchronisé, l'élément local passe au statut « synchronisé ». En cas de conflit (donnée modifiée des deux côtés), la version la plus récente (horodatage) est conservée et l'ancienne est archivée plutôt que supprimée.</w:t>
      </w:r>
    </w:p>
    <w:p>
      <w:pPr>
        <w:pStyle w:val="Heading2"/>
        <w:spacing w:after="150" w:before="300"/>
      </w:pPr>
      <w:r>
        <w:t xml:space="preserve">2.3 Schéma général des flux de données</w:t>
      </w:r>
    </w:p>
    <w:p>
      <w:pPr>
        <w:pStyle w:val="ListParagraph"/>
        <w:numPr>
          <w:ilvl w:val="0"/>
          <w:numId w:val="1"/>
        </w:numPr>
        <w:spacing w:after="80"/>
      </w:pPr>
      <w:r>
        <w:t xml:space="preserve">Utilisateur → Application (saisie/photo) → Base locale SQLite (statut : en attente)</w:t>
      </w:r>
    </w:p>
    <w:p>
      <w:pPr>
        <w:pStyle w:val="ListParagraph"/>
        <w:numPr>
          <w:ilvl w:val="0"/>
          <w:numId w:val="1"/>
        </w:numPr>
        <w:spacing w:after="80"/>
      </w:pPr>
      <w:r>
        <w:t xml:space="preserve">Base locale → File de synchronisation → Supabase (dès connexion disponible)</w:t>
      </w:r>
    </w:p>
    <w:p>
      <w:pPr>
        <w:pStyle w:val="ListParagraph"/>
        <w:numPr>
          <w:ilvl w:val="0"/>
          <w:numId w:val="1"/>
        </w:numPr>
        <w:spacing w:after="80"/>
      </w:pPr>
      <w:r>
        <w:t xml:space="preserve">Supabase → Triggers d'agrégation → Table ecosystem_signals → Dashboard Écosystème</w:t>
      </w:r>
    </w:p>
    <w:p>
      <w:pPr>
        <w:pStyle w:val="ListParagraph"/>
        <w:numPr>
          <w:ilvl w:val="0"/>
          <w:numId w:val="1"/>
        </w:numPr>
        <w:spacing w:after="80"/>
      </w:pPr>
      <w:r>
        <w:t xml:space="preserve">Supabase Auth → Row Level Security → Filtrage des données visibles par utilisateur/communauté</w:t>
      </w:r>
    </w:p>
    <w:p>
      <w:r>
        <w:br w:type="page"/>
      </w:r>
    </w:p>
    <w:p>
      <w:pPr>
        <w:pStyle w:val="Heading1"/>
        <w:spacing w:after="200" w:before="400"/>
      </w:pPr>
      <w:r>
        <w:t xml:space="preserve">3. Modules fonctionnels</w:t>
      </w:r>
    </w:p>
    <w:p>
      <w:pPr>
        <w:pStyle w:val="Heading2"/>
        <w:spacing w:after="150" w:before="300"/>
      </w:pPr>
      <w:r>
        <w:t xml:space="preserve">3.1 Module Agriculture</w:t>
      </w:r>
    </w:p>
    <w:p>
      <w:pPr>
        <w:spacing w:after="160"/>
      </w:pPr>
      <w:r>
        <w:t xml:space="preserve">Permet à l'utilisateur de photographier une feuille ou une plante malade. Le modèle embarqué (TFLite) classe la maladie parmi les catégories entraînées et retourne un score de confiance. Les conseils associés sont affichés dans la langue choisie par l'utilisateur : français ou anglais dans un premier temps, avec une architecture pensée pour ajouter d'autres langues locales par la suite. Chaque diagnostic est enregistré et alimente l'historique personnel ainsi que les signaux agrégés du module Écosystème.</w:t>
      </w:r>
    </w:p>
    <w:p>
      <w:pPr>
        <w:pStyle w:val="Heading2"/>
        <w:spacing w:after="150" w:before="300"/>
      </w:pPr>
      <w:r>
        <w:t xml:space="preserve">3.2 Module Ressources (gestion des déchets)</w:t>
      </w:r>
    </w:p>
    <w:p>
      <w:pPr>
        <w:spacing w:after="160"/>
      </w:pPr>
      <w:r>
        <w:t xml:space="preserve">Affiche la liste des points de collecte du quartier avec leur statut (plein / partiellement rempli / vide). Tout utilisateur peut signaler un point plein en un geste. Les signalements sont horodatés et géolocalisés, et alimentent une logique de priorisation simple pour orienter les bénévoles vers les points les plus urgents.</w:t>
      </w:r>
    </w:p>
    <w:p>
      <w:pPr>
        <w:pStyle w:val="Heading2"/>
        <w:spacing w:after="150" w:before="300"/>
      </w:pPr>
      <w:r>
        <w:t xml:space="preserve">3.3 Module Écosystème</w:t>
      </w:r>
    </w:p>
    <w:p>
      <w:pPr>
        <w:spacing w:after="160"/>
      </w:pPr>
      <w:r>
        <w:t xml:space="preserve">Tableau de bord communautaire qui agrège les signaux des deux modules précédents (nombre de maladies détectées, nombre de signalements de déchets, zones saines) pour produire un indice de santé environnementale local, ainsi qu'un graphique de tendance sur la semaine.</w:t>
      </w:r>
    </w:p>
    <w:p>
      <w:pPr>
        <w:pStyle w:val="Heading2"/>
        <w:spacing w:after="150" w:before="300"/>
      </w:pPr>
      <w:r>
        <w:t xml:space="preserve">3.4 Assistant Terra (chatbot)</w:t>
      </w:r>
    </w:p>
    <w:p>
      <w:pPr>
        <w:spacing w:after="160"/>
      </w:pPr>
      <w:r>
        <w:t xml:space="preserve">Assistant conversationnel accessible depuis un onglet dédié. Hors ligne, il répond à un ensemble de questions/intentions courantes prédéfinies (ex. : « mes feuilles jaunissent », « comment signaler un point de collecte ») et propose des réponses rapides qui redirigent vers le bon module. En ligne, les questions plus complexes sont transmises à l'API Claude pour une réponse plus riche, tout en conservant le même ton et les mêmes garde-fous (jamais de conseil santé humaine, toujours rediriger vers le module concerné quand pertinent).</w:t>
      </w:r>
    </w:p>
    <w:p>
      <w:pPr>
        <w:pStyle w:val="Heading2"/>
        <w:spacing w:after="150" w:before="300"/>
      </w:pPr>
      <w:r>
        <w:t xml:space="preserve">3.5 Paramètres</w:t>
      </w:r>
    </w:p>
    <w:p>
      <w:pPr>
        <w:spacing w:after="160"/>
      </w:pPr>
      <w:r>
        <w:t xml:space="preserve">Onglet transverse permettant de choisir le thème (clair/sombre), la langue de l'interface (français ou anglais dans un premier temps), et la taille du texte (accessibilité). Ces préférences sont stockées localement pour un accès immédiat hors ligne, puis synchronisées sur le profil Supabase de l'utilisateur.</w:t>
      </w:r>
    </w:p>
    <w:p>
      <w:r>
        <w:br w:type="page"/>
      </w:r>
    </w:p>
    <w:p>
      <w:pPr>
        <w:pStyle w:val="Heading1"/>
        <w:spacing w:after="200" w:before="400"/>
      </w:pPr>
      <w:r>
        <w:t xml:space="preserve">4. Modèle de données (Supabase / PostgreSQL)</w:t>
      </w:r>
    </w:p>
    <w:p>
      <w:pPr>
        <w:spacing w:after="160"/>
      </w:pPr>
      <w:r>
        <w:t xml:space="preserve">Toutes les tables utilisent un identifiant UUID en clé primaire (uuid_generate_v4()) et un champ created_at avec valeur par défaut now(). La sécurité au niveau des lignes (Row Level Security) est activée sur chaque table : un utilisateur ne peut lire/modifier que ses propres données personnelles (diagnostics, messages, réglages) ; les données communautaires (points de collecte, signaux agrégés) sont en lecture publique pour les membres authentifiés.</w:t>
      </w:r>
    </w:p>
    <w:p>
      <w:pPr>
        <w:pStyle w:val="Heading3"/>
        <w:spacing w:after="100" w:before="200"/>
      </w:pPr>
      <w:r>
        <w:t xml:space="preserve">4.1 profiles</w:t>
      </w:r>
    </w:p>
    <w:p>
      <w:pPr>
        <w:spacing w:after="160"/>
      </w:pPr>
      <w:r>
        <w:t xml:space="preserve">Étend la table auth.users gérée par Supabase Auth avec les informations propres à Terra.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shd w:fill="20241F" w:color="auto" w:val="clear"/>
            <w:tcMar>
              <w:top w:type="dxa" w:w="80"/>
              <w:left w:type="dxa" w:w="100"/>
              <w:bottom w:type="dxa" w:w="80"/>
              <w:right w:type="dxa" w:w="100"/>
            </w:tcMar>
            <w:vAlign w:val="center"/>
          </w:tcPr>
          <w:p>
            <w:pPr>
              <w:jc w:val="left"/>
            </w:pPr>
            <w:r>
              <w:rPr>
                <w:b/>
                <w:bCs/>
                <w:color w:val="FFFFFF"/>
                <w:sz w:val="19"/>
                <w:szCs w:val="19"/>
              </w:rPr>
              <w:t xml:space="preserve">Colonne</w:t>
            </w:r>
          </w:p>
        </w:tc>
        <w:tc>
          <w:tcPr>
            <w:tcW w:type="dxa" w:w="2200"/>
            <w:shd w:fill="20241F" w:color="auto"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4800"/>
            <w:shd w:fill="20241F" w:color="auto"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id</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uuid (PK, FK auth.users)</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Identifiant utilisateur, lié à Supabase Auth</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full_name</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Nom affiché de l'utilisateur</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village</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Village ou quartier de résidence</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language_pref</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Langue préférée (fr / en — extensible à d'autres langues locales plus tard)</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role</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membre / bénévole / administrateur</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created_at</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timestamptz</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Date de création du profil</w:t>
            </w:r>
          </w:p>
        </w:tc>
      </w:tr>
    </w:tbl>
    <w:p>
      <w:pPr>
        <w:spacing w:after="200"/>
      </w:pPr>
    </w:p>
    <w:p>
      <w:pPr>
        <w:pStyle w:val="Heading3"/>
        <w:spacing w:after="100" w:before="200"/>
      </w:pPr>
      <w:r>
        <w:t xml:space="preserve">4.2 diagnoses</w:t>
      </w:r>
    </w:p>
    <w:p>
      <w:pPr>
        <w:spacing w:after="160"/>
      </w:pPr>
      <w:r>
        <w:t xml:space="preserve">Un enregistrement par diagnostic de plante effectué.</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shd w:fill="20241F" w:color="auto" w:val="clear"/>
            <w:tcMar>
              <w:top w:type="dxa" w:w="80"/>
              <w:left w:type="dxa" w:w="100"/>
              <w:bottom w:type="dxa" w:w="80"/>
              <w:right w:type="dxa" w:w="100"/>
            </w:tcMar>
            <w:vAlign w:val="center"/>
          </w:tcPr>
          <w:p>
            <w:pPr>
              <w:jc w:val="left"/>
            </w:pPr>
            <w:r>
              <w:rPr>
                <w:b/>
                <w:bCs/>
                <w:color w:val="FFFFFF"/>
                <w:sz w:val="19"/>
                <w:szCs w:val="19"/>
              </w:rPr>
              <w:t xml:space="preserve">Colonne</w:t>
            </w:r>
          </w:p>
        </w:tc>
        <w:tc>
          <w:tcPr>
            <w:tcW w:type="dxa" w:w="2200"/>
            <w:shd w:fill="20241F" w:color="auto"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4800"/>
            <w:shd w:fill="20241F" w:color="auto"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id</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uuid (PK)</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Identifiant du diagnostic</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user_id</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uuid (FK profiles)</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Auteur du diagnostic</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image_url</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Chemin de la photo dans Supabase Storage</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crop_type</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Culture concernée (manioc, maïs, etc.)</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disease_predicted</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Maladie identifiée par le modèle</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confidence</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numeric</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Score de confiance du modèle (0 à 1)</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advice_text</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Conseil affiché à l'utilisateur</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language</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Langue du conseil affiché</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sync_status</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en_attente / synchronisé</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created_at</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timestamptz</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Date du diagnostic</w:t>
            </w:r>
          </w:p>
        </w:tc>
      </w:tr>
    </w:tbl>
    <w:p>
      <w:pPr>
        <w:spacing w:after="200"/>
      </w:pPr>
    </w:p>
    <w:p>
      <w:pPr>
        <w:pStyle w:val="Heading3"/>
        <w:spacing w:after="100" w:before="200"/>
      </w:pPr>
      <w:r>
        <w:t xml:space="preserve">4.3 waste_points</w:t>
      </w:r>
    </w:p>
    <w:p>
      <w:pPr>
        <w:spacing w:after="160"/>
      </w:pPr>
      <w:r>
        <w:t xml:space="preserve">Points de collecte de déchets connus dans une communauté.</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shd w:fill="20241F" w:color="auto" w:val="clear"/>
            <w:tcMar>
              <w:top w:type="dxa" w:w="80"/>
              <w:left w:type="dxa" w:w="100"/>
              <w:bottom w:type="dxa" w:w="80"/>
              <w:right w:type="dxa" w:w="100"/>
            </w:tcMar>
            <w:vAlign w:val="center"/>
          </w:tcPr>
          <w:p>
            <w:pPr>
              <w:jc w:val="left"/>
            </w:pPr>
            <w:r>
              <w:rPr>
                <w:b/>
                <w:bCs/>
                <w:color w:val="FFFFFF"/>
                <w:sz w:val="19"/>
                <w:szCs w:val="19"/>
              </w:rPr>
              <w:t xml:space="preserve">Colonne</w:t>
            </w:r>
          </w:p>
        </w:tc>
        <w:tc>
          <w:tcPr>
            <w:tcW w:type="dxa" w:w="2200"/>
            <w:shd w:fill="20241F" w:color="auto"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4800"/>
            <w:shd w:fill="20241F" w:color="auto"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id</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uuid (PK)</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Identifiant du point de collecte</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name</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Nom du point (ex. Marché central)</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latitude / longitude</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numeric</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Coordonnées GPS du point</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neighborhood</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Quartier / zone</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created_at</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timestamptz</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Date de création du point</w:t>
            </w:r>
          </w:p>
        </w:tc>
      </w:tr>
    </w:tbl>
    <w:p>
      <w:pPr>
        <w:spacing w:after="200"/>
      </w:pPr>
    </w:p>
    <w:p>
      <w:pPr>
        <w:pStyle w:val="Heading3"/>
        <w:spacing w:after="100" w:before="200"/>
      </w:pPr>
      <w:r>
        <w:t xml:space="preserve">4.4 waste_reports</w:t>
      </w:r>
    </w:p>
    <w:p>
      <w:pPr>
        <w:spacing w:after="160"/>
      </w:pPr>
      <w:r>
        <w:t xml:space="preserve">Historique des signalements effectués sur un point de collecte.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shd w:fill="20241F" w:color="auto" w:val="clear"/>
            <w:tcMar>
              <w:top w:type="dxa" w:w="80"/>
              <w:left w:type="dxa" w:w="100"/>
              <w:bottom w:type="dxa" w:w="80"/>
              <w:right w:type="dxa" w:w="100"/>
            </w:tcMar>
            <w:vAlign w:val="center"/>
          </w:tcPr>
          <w:p>
            <w:pPr>
              <w:jc w:val="left"/>
            </w:pPr>
            <w:r>
              <w:rPr>
                <w:b/>
                <w:bCs/>
                <w:color w:val="FFFFFF"/>
                <w:sz w:val="19"/>
                <w:szCs w:val="19"/>
              </w:rPr>
              <w:t xml:space="preserve">Colonne</w:t>
            </w:r>
          </w:p>
        </w:tc>
        <w:tc>
          <w:tcPr>
            <w:tcW w:type="dxa" w:w="2200"/>
            <w:shd w:fill="20241F" w:color="auto"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4800"/>
            <w:shd w:fill="20241F" w:color="auto"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id</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uuid (PK)</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Identifiant du signalement</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waste_point_id</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uuid (FK waste_points)</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Point concerné</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user_id</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uuid (FK profiles)</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Auteur du signalement</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status</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plein / partiel / vide</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note</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Commentaire optionnel</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sync_status</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en_attente / synchronisé</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created_at</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timestamptz</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Date du signalement</w:t>
            </w:r>
          </w:p>
        </w:tc>
      </w:tr>
    </w:tbl>
    <w:p>
      <w:pPr>
        <w:spacing w:after="200"/>
      </w:pPr>
    </w:p>
    <w:p>
      <w:pPr>
        <w:pStyle w:val="Heading3"/>
        <w:spacing w:after="100" w:before="200"/>
      </w:pPr>
      <w:r>
        <w:t xml:space="preserve">4.5 ecosystem_signals</w:t>
      </w:r>
    </w:p>
    <w:p>
      <w:pPr>
        <w:spacing w:after="160"/>
      </w:pPr>
      <w:r>
        <w:t xml:space="preserve">Table d'agrégation alimentée automatiquement (trigger) à chaque nouveau diagnostic ou signalement, utilisée par le dashboard Écosystème.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shd w:fill="20241F" w:color="auto" w:val="clear"/>
            <w:tcMar>
              <w:top w:type="dxa" w:w="80"/>
              <w:left w:type="dxa" w:w="100"/>
              <w:bottom w:type="dxa" w:w="80"/>
              <w:right w:type="dxa" w:w="100"/>
            </w:tcMar>
            <w:vAlign w:val="center"/>
          </w:tcPr>
          <w:p>
            <w:pPr>
              <w:jc w:val="left"/>
            </w:pPr>
            <w:r>
              <w:rPr>
                <w:b/>
                <w:bCs/>
                <w:color w:val="FFFFFF"/>
                <w:sz w:val="19"/>
                <w:szCs w:val="19"/>
              </w:rPr>
              <w:t xml:space="preserve">Colonne</w:t>
            </w:r>
          </w:p>
        </w:tc>
        <w:tc>
          <w:tcPr>
            <w:tcW w:type="dxa" w:w="2200"/>
            <w:shd w:fill="20241F" w:color="auto"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4800"/>
            <w:shd w:fill="20241F" w:color="auto"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id</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uuid (PK)</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Identifiant du signal</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source_type</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diagnosis / waste_report</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source_id</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uuid</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Référence à l'enregistrement source</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severity</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faible / moyen / élevé</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neighborhood</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Zone concernée</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created_at</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timestamptz</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Date du signal</w:t>
            </w:r>
          </w:p>
        </w:tc>
      </w:tr>
    </w:tbl>
    <w:p>
      <w:pPr>
        <w:spacing w:after="200"/>
      </w:pPr>
    </w:p>
    <w:p>
      <w:pPr>
        <w:pStyle w:val="Heading3"/>
        <w:spacing w:after="100" w:before="200"/>
      </w:pPr>
      <w:r>
        <w:t xml:space="preserve">4.6 chat_messages</w:t>
      </w:r>
    </w:p>
    <w:p>
      <w:pPr>
        <w:spacing w:after="160"/>
      </w:pPr>
      <w:r>
        <w:t xml:space="preserve">Historique des échanges entre un utilisateur et l'assistant Terra.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shd w:fill="20241F" w:color="auto" w:val="clear"/>
            <w:tcMar>
              <w:top w:type="dxa" w:w="80"/>
              <w:left w:type="dxa" w:w="100"/>
              <w:bottom w:type="dxa" w:w="80"/>
              <w:right w:type="dxa" w:w="100"/>
            </w:tcMar>
            <w:vAlign w:val="center"/>
          </w:tcPr>
          <w:p>
            <w:pPr>
              <w:jc w:val="left"/>
            </w:pPr>
            <w:r>
              <w:rPr>
                <w:b/>
                <w:bCs/>
                <w:color w:val="FFFFFF"/>
                <w:sz w:val="19"/>
                <w:szCs w:val="19"/>
              </w:rPr>
              <w:t xml:space="preserve">Colonne</w:t>
            </w:r>
          </w:p>
        </w:tc>
        <w:tc>
          <w:tcPr>
            <w:tcW w:type="dxa" w:w="2200"/>
            <w:shd w:fill="20241F" w:color="auto"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4800"/>
            <w:shd w:fill="20241F" w:color="auto"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id</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uuid (PK)</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Identifiant du message</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user_id</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uuid (FK profiles)</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Utilisateur concerné</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sender</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user / bot</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content</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Contenu du message</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sync_status</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en_attente / synchronisé</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created_at</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timestamptz</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Date du message</w:t>
            </w:r>
          </w:p>
        </w:tc>
      </w:tr>
    </w:tbl>
    <w:p>
      <w:pPr>
        <w:spacing w:after="200"/>
      </w:pPr>
    </w:p>
    <w:p>
      <w:pPr>
        <w:pStyle w:val="Heading3"/>
        <w:spacing w:after="100" w:before="200"/>
      </w:pPr>
      <w:r>
        <w:t xml:space="preserve">4.7 user_settings</w:t>
      </w:r>
    </w:p>
    <w:p>
      <w:pPr>
        <w:spacing w:after="160"/>
      </w:pPr>
      <w:r>
        <w:t xml:space="preserve">Préférences d'affichage et d'accessibilité, une ligne par utilisateur.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shd w:fill="20241F" w:color="auto" w:val="clear"/>
            <w:tcMar>
              <w:top w:type="dxa" w:w="80"/>
              <w:left w:type="dxa" w:w="100"/>
              <w:bottom w:type="dxa" w:w="80"/>
              <w:right w:type="dxa" w:w="100"/>
            </w:tcMar>
            <w:vAlign w:val="center"/>
          </w:tcPr>
          <w:p>
            <w:pPr>
              <w:jc w:val="left"/>
            </w:pPr>
            <w:r>
              <w:rPr>
                <w:b/>
                <w:bCs/>
                <w:color w:val="FFFFFF"/>
                <w:sz w:val="19"/>
                <w:szCs w:val="19"/>
              </w:rPr>
              <w:t xml:space="preserve">Colonne</w:t>
            </w:r>
          </w:p>
        </w:tc>
        <w:tc>
          <w:tcPr>
            <w:tcW w:type="dxa" w:w="2200"/>
            <w:shd w:fill="20241F" w:color="auto"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4800"/>
            <w:shd w:fill="20241F" w:color="auto"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id</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uuid (PK)</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Identifiant de la ligne</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user_id</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uuid (FK profiles, unique)</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Utilisateur concerné</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theme</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clair / sombre</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language</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Langue de l'interface</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text_size</w:t>
            </w:r>
          </w:p>
        </w:tc>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text</w:t>
            </w:r>
          </w:p>
        </w:tc>
        <w:tc>
          <w:tcPr>
            <w:tcW w:type="dxa" w:w="4800"/>
            <w:shd w:fill="FFFFFF" w:color="auto" w:val="clear"/>
            <w:tcMar>
              <w:top w:type="dxa" w:w="80"/>
              <w:left w:type="dxa" w:w="100"/>
              <w:bottom w:type="dxa" w:w="80"/>
              <w:right w:type="dxa" w:w="100"/>
            </w:tcMar>
            <w:vAlign w:val="center"/>
          </w:tcPr>
          <w:p>
            <w:pPr>
              <w:jc w:val="left"/>
            </w:pPr>
            <w:r>
              <w:rPr>
                <w:b w:val="false"/>
                <w:bCs w:val="false"/>
                <w:sz w:val="19"/>
                <w:szCs w:val="19"/>
              </w:rPr>
              <w:t xml:space="preserve">petit / normal / grand</w:t>
            </w:r>
          </w:p>
        </w:tc>
      </w:tr>
      <w:tr>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updated_at</w:t>
            </w:r>
          </w:p>
        </w:tc>
        <w:tc>
          <w:tcPr>
            <w:tcW w:type="dxa" w:w="2200"/>
            <w:shd w:fill="F6F0E2" w:color="auto" w:val="clear"/>
            <w:tcMar>
              <w:top w:type="dxa" w:w="80"/>
              <w:left w:type="dxa" w:w="100"/>
              <w:bottom w:type="dxa" w:w="80"/>
              <w:right w:type="dxa" w:w="100"/>
            </w:tcMar>
            <w:vAlign w:val="center"/>
          </w:tcPr>
          <w:p>
            <w:pPr>
              <w:jc w:val="left"/>
            </w:pPr>
            <w:r>
              <w:rPr>
                <w:b w:val="false"/>
                <w:bCs w:val="false"/>
                <w:sz w:val="19"/>
                <w:szCs w:val="19"/>
              </w:rPr>
              <w:t xml:space="preserve">timestamptz</w:t>
            </w:r>
          </w:p>
        </w:tc>
        <w:tc>
          <w:tcPr>
            <w:tcW w:type="dxa" w:w="4800"/>
            <w:shd w:fill="F6F0E2" w:color="auto" w:val="clear"/>
            <w:tcMar>
              <w:top w:type="dxa" w:w="80"/>
              <w:left w:type="dxa" w:w="100"/>
              <w:bottom w:type="dxa" w:w="80"/>
              <w:right w:type="dxa" w:w="100"/>
            </w:tcMar>
            <w:vAlign w:val="center"/>
          </w:tcPr>
          <w:p>
            <w:pPr>
              <w:jc w:val="left"/>
            </w:pPr>
            <w:r>
              <w:rPr>
                <w:b w:val="false"/>
                <w:bCs w:val="false"/>
                <w:sz w:val="19"/>
                <w:szCs w:val="19"/>
              </w:rPr>
              <w:t xml:space="preserve">Dernière modification</w:t>
            </w:r>
          </w:p>
        </w:tc>
      </w:tr>
    </w:tbl>
    <w:p>
      <w:pPr>
        <w:spacing w:after="200"/>
      </w:pPr>
    </w:p>
    <w:p>
      <w:r>
        <w:br w:type="page"/>
      </w:r>
    </w:p>
    <w:p>
      <w:pPr>
        <w:pStyle w:val="Heading1"/>
        <w:spacing w:after="200" w:before="400"/>
      </w:pPr>
      <w:r>
        <w:t xml:space="preserve">5. Utilisation des données collectées</w:t>
      </w:r>
    </w:p>
    <w:p>
      <w:pPr>
        <w:pStyle w:val="Heading2"/>
        <w:spacing w:after="150" w:before="300"/>
      </w:pPr>
      <w:r>
        <w:t xml:space="preserve">5.1 À quoi servent les données</w:t>
      </w:r>
    </w:p>
    <w:p>
      <w:pPr>
        <w:pStyle w:val="ListParagraph"/>
        <w:numPr>
          <w:ilvl w:val="0"/>
          <w:numId w:val="1"/>
        </w:numPr>
        <w:spacing w:after="80"/>
      </w:pPr>
      <w:r>
        <w:t xml:space="preserve">Personnaliser l'expérience de chaque utilisateur : historique de ses diagnostics, ses signalements, ses préférences.</w:t>
      </w:r>
    </w:p>
    <w:p>
      <w:pPr>
        <w:pStyle w:val="ListParagraph"/>
        <w:numPr>
          <w:ilvl w:val="0"/>
          <w:numId w:val="1"/>
        </w:numPr>
        <w:spacing w:after="80"/>
      </w:pPr>
      <w:r>
        <w:t xml:space="preserve">Alimenter un indicateur collectif de santé environnementale par quartier, visible par toute la communauté (table ecosystem_signals), sans exposer qui a signalé quoi.</w:t>
      </w:r>
    </w:p>
    <w:p>
      <w:pPr>
        <w:pStyle w:val="ListParagraph"/>
        <w:numPr>
          <w:ilvl w:val="0"/>
          <w:numId w:val="1"/>
        </w:numPr>
        <w:spacing w:after="80"/>
      </w:pPr>
      <w:r>
        <w:t xml:space="preserve">Prioriser les actions communautaires : les points de collecte les plus signalés remontent en tête de liste.</w:t>
      </w:r>
    </w:p>
    <w:p>
      <w:pPr>
        <w:pStyle w:val="ListParagraph"/>
        <w:numPr>
          <w:ilvl w:val="0"/>
          <w:numId w:val="1"/>
        </w:numPr>
        <w:spacing w:after="80"/>
      </w:pPr>
      <w:r>
        <w:t xml:space="preserve">Améliorer le modèle de diagnostic dans le temps : les diagnostics validés ou corrigés par les utilisateurs pourront servir de données d'entraînement additionnelles (post-hackathon).</w:t>
      </w:r>
    </w:p>
    <w:p>
      <w:pPr>
        <w:pStyle w:val="Heading2"/>
        <w:spacing w:after="150" w:before="300"/>
      </w:pPr>
      <w:r>
        <w:t xml:space="preserve">5.2 Anonymisation et agrégation</w:t>
      </w:r>
    </w:p>
    <w:p>
      <w:pPr>
        <w:spacing w:after="160"/>
      </w:pPr>
      <w:r>
        <w:t xml:space="preserve">Le tableau de bord Écosystème n'affiche jamais de données individuelles : il s'appuie uniquement sur la table ecosystem_signals, qui contient un type de signal, une gravité et une zone, sans identifiant utilisateur. Les statistiques par quartier ne sont affichées qu'à partir d'un nombre minimal de signaux, pour éviter qu'une zone à un seul habitant ne devienne identifiable indirectement.</w:t>
      </w:r>
    </w:p>
    <w:p>
      <w:pPr>
        <w:pStyle w:val="Heading2"/>
        <w:spacing w:after="150" w:before="300"/>
      </w:pPr>
      <w:r>
        <w:t xml:space="preserve">5.3 Confidentialité et sécurité</w:t>
      </w:r>
    </w:p>
    <w:p>
      <w:pPr>
        <w:pStyle w:val="ListParagraph"/>
        <w:numPr>
          <w:ilvl w:val="0"/>
          <w:numId w:val="1"/>
        </w:numPr>
        <w:spacing w:after="80"/>
      </w:pPr>
      <w:r>
        <w:t xml:space="preserve">Chaque utilisateur ne peut consulter que ses propres diagnostics et messages (Row Level Security).</w:t>
      </w:r>
    </w:p>
    <w:p>
      <w:pPr>
        <w:pStyle w:val="ListParagraph"/>
        <w:numPr>
          <w:ilvl w:val="0"/>
          <w:numId w:val="1"/>
        </w:numPr>
        <w:spacing w:after="80"/>
      </w:pPr>
      <w:r>
        <w:t xml:space="preserve">Les photos sont stockées dans un bucket Supabase Storage privé, accessible uniquement via des URLs signées et temporaires.</w:t>
      </w:r>
    </w:p>
    <w:p>
      <w:pPr>
        <w:pStyle w:val="ListParagraph"/>
        <w:numPr>
          <w:ilvl w:val="0"/>
          <w:numId w:val="1"/>
        </w:numPr>
        <w:spacing w:after="80"/>
      </w:pPr>
      <w:r>
        <w:t xml:space="preserve">Un utilisateur peut demander la suppression de son compte et de ses données personnelles depuis l'onglet Paramètres.</w:t>
      </w:r>
    </w:p>
    <w:p>
      <w:pPr>
        <w:pStyle w:val="ListParagraph"/>
        <w:numPr>
          <w:ilvl w:val="0"/>
          <w:numId w:val="1"/>
        </w:numPr>
        <w:spacing w:after="80"/>
      </w:pPr>
      <w:r>
        <w:t xml:space="preserve">Aucune donnée personnelle n'est partagée avec des organisations tierces ; seules des statistiques agrégées et anonymisées pourraient l'être, avec le consentement explicite de la communauté.</w:t>
      </w:r>
    </w:p>
    <w:p>
      <w:pPr>
        <w:pStyle w:val="Heading1"/>
        <w:spacing w:after="200" w:before="400"/>
      </w:pPr>
      <w:r>
        <w:t xml:space="preserve">6. Organisation du travail et Git</w:t>
      </w:r>
    </w:p>
    <w:p>
      <w:pPr>
        <w:pStyle w:val="Heading2"/>
        <w:spacing w:after="150" w:before="300"/>
      </w:pPr>
      <w:r>
        <w:t xml:space="preserve">6.1 Structure des branches</w:t>
      </w:r>
    </w:p>
    <w:p>
      <w:pPr>
        <w:pStyle w:val="ListParagraph"/>
        <w:numPr>
          <w:ilvl w:val="0"/>
          <w:numId w:val="1"/>
        </w:numPr>
        <w:spacing w:after="80"/>
      </w:pPr>
      <w:r>
        <w:t xml:space="preserve">main — toujours stable, correspond à la version présentée au jury.</w:t>
      </w:r>
    </w:p>
    <w:p>
      <w:pPr>
        <w:pStyle w:val="ListParagraph"/>
        <w:numPr>
          <w:ilvl w:val="0"/>
          <w:numId w:val="1"/>
        </w:numPr>
        <w:spacing w:after="80"/>
      </w:pPr>
      <w:r>
        <w:t xml:space="preserve">dev — branche d'intégration où chaque module est fusionné après revue.</w:t>
      </w:r>
    </w:p>
    <w:p>
      <w:pPr>
        <w:pStyle w:val="ListParagraph"/>
        <w:numPr>
          <w:ilvl w:val="0"/>
          <w:numId w:val="1"/>
        </w:numPr>
        <w:spacing w:after="80"/>
      </w:pPr>
      <w:r>
        <w:t xml:space="preserve">feature/agriculture, feature/ressources, feature/ecosystem, feature/assistant-parametres — une branche par module, une par personne.</w:t>
      </w:r>
    </w:p>
    <w:p>
      <w:pPr>
        <w:pStyle w:val="Heading2"/>
        <w:spacing w:after="150" w:before="300"/>
      </w:pPr>
      <w:r>
        <w:t xml:space="preserve">6.2 Convention de commit</w:t>
      </w:r>
    </w:p>
    <w:p>
      <w:pPr>
        <w:spacing w:after="160"/>
      </w:pPr>
      <w:r>
        <w:t xml:space="preserve">Préfixes conventionnels pour un historique lisible :</w:t>
      </w:r>
    </w:p>
    <w:p>
      <w:pPr>
        <w:pStyle w:val="ListParagraph"/>
        <w:numPr>
          <w:ilvl w:val="0"/>
          <w:numId w:val="1"/>
        </w:numPr>
        <w:spacing w:after="80"/>
      </w:pPr>
      <w:r>
        <w:t xml:space="preserve">feat: nouvelle fonctionnalité (ex. feat: écran de diagnostic plante)</w:t>
      </w:r>
    </w:p>
    <w:p>
      <w:pPr>
        <w:pStyle w:val="ListParagraph"/>
        <w:numPr>
          <w:ilvl w:val="0"/>
          <w:numId w:val="1"/>
        </w:numPr>
        <w:spacing w:after="80"/>
      </w:pPr>
      <w:r>
        <w:t xml:space="preserve">fix: correction de bug</w:t>
      </w:r>
    </w:p>
    <w:p>
      <w:pPr>
        <w:pStyle w:val="ListParagraph"/>
        <w:numPr>
          <w:ilvl w:val="0"/>
          <w:numId w:val="1"/>
        </w:numPr>
        <w:spacing w:after="80"/>
      </w:pPr>
      <w:r>
        <w:t xml:space="preserve">docs: documentation</w:t>
      </w:r>
    </w:p>
    <w:p>
      <w:pPr>
        <w:pStyle w:val="ListParagraph"/>
        <w:numPr>
          <w:ilvl w:val="0"/>
          <w:numId w:val="1"/>
        </w:numPr>
        <w:spacing w:after="80"/>
      </w:pPr>
      <w:r>
        <w:t xml:space="preserve">chore: configuration, dépendances</w:t>
      </w:r>
    </w:p>
    <w:p>
      <w:pPr>
        <w:pStyle w:val="Heading2"/>
        <w:spacing w:after="150" w:before="300"/>
      </w:pPr>
      <w:r>
        <w:t xml:space="preserve">6.3 Revue de code</w:t>
      </w:r>
    </w:p>
    <w:p>
      <w:pPr>
        <w:spacing w:after="160"/>
      </w:pPr>
      <w:r>
        <w:t xml:space="preserve">Toute fusion vers dev passe par une Pull Request avec au moins une relecture par un autre membre de l'équipe. La fusion de dev vers main se fait uniquement avant une démonstration ou une soumission, une fois les tests d'intégration validés.</w:t>
      </w:r>
    </w:p>
    <w:p>
      <w:pPr>
        <w:pStyle w:val="Heading2"/>
        <w:spacing w:after="150" w:before="300"/>
      </w:pPr>
      <w:r>
        <w:t xml:space="preserve">6.4 Suivi des tâches</w:t>
      </w:r>
    </w:p>
    <w:p>
      <w:pPr>
        <w:spacing w:after="160"/>
      </w:pPr>
      <w:r>
        <w:t xml:space="preserve">Le classeur de répartition des tâches (fichier séparé) sert de référence pour l'ordre de travail et les dépendances entre tâches. Un tableau Kanban GitHub Projects, organisé par les mêmes colonnes (À faire / En cours / Terminé), en donne une vue miroir partagée par l'équipe.</w:t>
      </w:r>
    </w:p>
    <w:p>
      <w:r>
        <w:br w:type="page"/>
      </w:r>
    </w:p>
    <w:p>
      <w:pPr>
        <w:pStyle w:val="Heading1"/>
        <w:spacing w:after="200" w:before="400"/>
      </w:pPr>
      <w:r>
        <w:t xml:space="preserve">7. Identité visuelle (rappel)</w:t>
      </w:r>
    </w:p>
    <w:p>
      <w:pPr>
        <w:spacing w:after="160"/>
      </w:pPr>
      <w:r>
        <w:t xml:space="preserve">La charte graphique complète est définie dans la maquette validée ; ce rappel synthétique sert de référence rapide pendant le développement.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shd w:fill="20241F" w:color="auto" w:val="clear"/>
            <w:tcMar>
              <w:top w:type="dxa" w:w="80"/>
              <w:left w:type="dxa" w:w="100"/>
              <w:bottom w:type="dxa" w:w="80"/>
              <w:right w:type="dxa" w:w="100"/>
            </w:tcMar>
            <w:vAlign w:val="center"/>
          </w:tcPr>
          <w:p>
            <w:pPr>
              <w:jc w:val="left"/>
            </w:pPr>
            <w:r>
              <w:rPr>
                <w:b/>
                <w:bCs/>
                <w:color w:val="FFFFFF"/>
                <w:sz w:val="19"/>
                <w:szCs w:val="19"/>
              </w:rPr>
              <w:t xml:space="preserve">Élément</w:t>
            </w:r>
          </w:p>
        </w:tc>
        <w:tc>
          <w:tcPr>
            <w:tcW w:type="dxa" w:w="3200"/>
            <w:shd w:fill="20241F" w:color="auto" w:val="clear"/>
            <w:tcMar>
              <w:top w:type="dxa" w:w="80"/>
              <w:left w:type="dxa" w:w="100"/>
              <w:bottom w:type="dxa" w:w="80"/>
              <w:right w:type="dxa" w:w="100"/>
            </w:tcMar>
            <w:vAlign w:val="center"/>
          </w:tcPr>
          <w:p>
            <w:pPr>
              <w:jc w:val="left"/>
            </w:pPr>
            <w:r>
              <w:rPr>
                <w:b/>
                <w:bCs/>
                <w:color w:val="FFFFFF"/>
                <w:sz w:val="19"/>
                <w:szCs w:val="19"/>
              </w:rPr>
              <w:t xml:space="preserve">Valeur</w:t>
            </w:r>
          </w:p>
        </w:tc>
        <w:tc>
          <w:tcPr>
            <w:tcW w:type="dxa" w:w="3600"/>
            <w:shd w:fill="20241F" w:color="auto" w:val="clear"/>
            <w:tcMar>
              <w:top w:type="dxa" w:w="80"/>
              <w:left w:type="dxa" w:w="100"/>
              <w:bottom w:type="dxa" w:w="80"/>
              <w:right w:type="dxa" w:w="100"/>
            </w:tcMar>
            <w:vAlign w:val="center"/>
          </w:tcPr>
          <w:p>
            <w:pPr>
              <w:jc w:val="left"/>
            </w:pPr>
            <w:r>
              <w:rPr>
                <w:b/>
                <w:bCs/>
                <w:color w:val="FFFFFF"/>
                <w:sz w:val="19"/>
                <w:szCs w:val="19"/>
              </w:rPr>
              <w:t xml:space="preserve">Usage</w:t>
            </w:r>
          </w:p>
        </w:tc>
      </w:tr>
      <w:tr>
        <w:tc>
          <w:tcPr>
            <w:tcW w:type="dxa" w:w="2600"/>
            <w:shd w:fill="FFFFFF" w:color="auto" w:val="clear"/>
            <w:tcMar>
              <w:top w:type="dxa" w:w="80"/>
              <w:left w:type="dxa" w:w="100"/>
              <w:bottom w:type="dxa" w:w="80"/>
              <w:right w:type="dxa" w:w="100"/>
            </w:tcMar>
            <w:vAlign w:val="center"/>
          </w:tcPr>
          <w:p>
            <w:pPr>
              <w:jc w:val="left"/>
            </w:pPr>
            <w:r>
              <w:rPr>
                <w:b w:val="false"/>
                <w:bCs w:val="false"/>
                <w:sz w:val="19"/>
                <w:szCs w:val="19"/>
              </w:rPr>
              <w:t xml:space="preserve">Fond principal</w:t>
            </w:r>
          </w:p>
        </w:tc>
        <w:tc>
          <w:tcPr>
            <w:tcW w:type="dxa" w:w="3200"/>
            <w:shd w:fill="FFFFFF" w:color="auto" w:val="clear"/>
            <w:tcMar>
              <w:top w:type="dxa" w:w="80"/>
              <w:left w:type="dxa" w:w="100"/>
              <w:bottom w:type="dxa" w:w="80"/>
              <w:right w:type="dxa" w:w="100"/>
            </w:tcMar>
            <w:vAlign w:val="center"/>
          </w:tcPr>
          <w:p>
            <w:pPr>
              <w:jc w:val="left"/>
            </w:pPr>
            <w:r>
              <w:rPr>
                <w:b w:val="false"/>
                <w:bCs w:val="false"/>
                <w:sz w:val="19"/>
                <w:szCs w:val="19"/>
              </w:rPr>
              <w:t xml:space="preserve">#F6F0E2</w:t>
            </w:r>
          </w:p>
        </w:tc>
        <w:tc>
          <w:tcPr>
            <w:tcW w:type="dxa" w:w="3600"/>
            <w:shd w:fill="FFFFFF" w:color="auto" w:val="clear"/>
            <w:tcMar>
              <w:top w:type="dxa" w:w="80"/>
              <w:left w:type="dxa" w:w="100"/>
              <w:bottom w:type="dxa" w:w="80"/>
              <w:right w:type="dxa" w:w="100"/>
            </w:tcMar>
            <w:vAlign w:val="center"/>
          </w:tcPr>
          <w:p>
            <w:pPr>
              <w:jc w:val="left"/>
            </w:pPr>
            <w:r>
              <w:rPr>
                <w:b w:val="false"/>
                <w:bCs w:val="false"/>
                <w:sz w:val="19"/>
                <w:szCs w:val="19"/>
              </w:rPr>
              <w:t xml:space="preserve">Arrière-plan des écrans</w:t>
            </w:r>
          </w:p>
        </w:tc>
      </w:tr>
      <w:tr>
        <w:tc>
          <w:tcPr>
            <w:tcW w:type="dxa" w:w="2600"/>
            <w:shd w:fill="F6F0E2" w:color="auto" w:val="clear"/>
            <w:tcMar>
              <w:top w:type="dxa" w:w="80"/>
              <w:left w:type="dxa" w:w="100"/>
              <w:bottom w:type="dxa" w:w="80"/>
              <w:right w:type="dxa" w:w="100"/>
            </w:tcMar>
            <w:vAlign w:val="center"/>
          </w:tcPr>
          <w:p>
            <w:pPr>
              <w:jc w:val="left"/>
            </w:pPr>
            <w:r>
              <w:rPr>
                <w:b w:val="false"/>
                <w:bCs w:val="false"/>
                <w:sz w:val="19"/>
                <w:szCs w:val="19"/>
              </w:rPr>
              <w:t xml:space="preserve">Argile (accent primaire)</w:t>
            </w:r>
          </w:p>
        </w:tc>
        <w:tc>
          <w:tcPr>
            <w:tcW w:type="dxa" w:w="3200"/>
            <w:shd w:fill="F6F0E2" w:color="auto" w:val="clear"/>
            <w:tcMar>
              <w:top w:type="dxa" w:w="80"/>
              <w:left w:type="dxa" w:w="100"/>
              <w:bottom w:type="dxa" w:w="80"/>
              <w:right w:type="dxa" w:w="100"/>
            </w:tcMar>
            <w:vAlign w:val="center"/>
          </w:tcPr>
          <w:p>
            <w:pPr>
              <w:jc w:val="left"/>
            </w:pPr>
            <w:r>
              <w:rPr>
                <w:b w:val="false"/>
                <w:bCs w:val="false"/>
                <w:sz w:val="19"/>
                <w:szCs w:val="19"/>
              </w:rPr>
              <w:t xml:space="preserve">#A8432A</w:t>
            </w:r>
          </w:p>
        </w:tc>
        <w:tc>
          <w:tcPr>
            <w:tcW w:type="dxa" w:w="3600"/>
            <w:shd w:fill="F6F0E2" w:color="auto" w:val="clear"/>
            <w:tcMar>
              <w:top w:type="dxa" w:w="80"/>
              <w:left w:type="dxa" w:w="100"/>
              <w:bottom w:type="dxa" w:w="80"/>
              <w:right w:type="dxa" w:w="100"/>
            </w:tcMar>
            <w:vAlign w:val="center"/>
          </w:tcPr>
          <w:p>
            <w:pPr>
              <w:jc w:val="left"/>
            </w:pPr>
            <w:r>
              <w:rPr>
                <w:b w:val="false"/>
                <w:bCs w:val="false"/>
                <w:sz w:val="19"/>
                <w:szCs w:val="19"/>
              </w:rPr>
              <w:t xml:space="preserve">Boutons d'action, alertes</w:t>
            </w:r>
          </w:p>
        </w:tc>
      </w:tr>
      <w:tr>
        <w:tc>
          <w:tcPr>
            <w:tcW w:type="dxa" w:w="2600"/>
            <w:shd w:fill="FFFFFF" w:color="auto" w:val="clear"/>
            <w:tcMar>
              <w:top w:type="dxa" w:w="80"/>
              <w:left w:type="dxa" w:w="100"/>
              <w:bottom w:type="dxa" w:w="80"/>
              <w:right w:type="dxa" w:w="100"/>
            </w:tcMar>
            <w:vAlign w:val="center"/>
          </w:tcPr>
          <w:p>
            <w:pPr>
              <w:jc w:val="left"/>
            </w:pPr>
            <w:r>
              <w:rPr>
                <w:b w:val="false"/>
                <w:bCs w:val="false"/>
                <w:sz w:val="19"/>
                <w:szCs w:val="19"/>
              </w:rPr>
              <w:t xml:space="preserve">Or</w:t>
            </w:r>
          </w:p>
        </w:tc>
        <w:tc>
          <w:tcPr>
            <w:tcW w:type="dxa" w:w="3200"/>
            <w:shd w:fill="FFFFFF" w:color="auto" w:val="clear"/>
            <w:tcMar>
              <w:top w:type="dxa" w:w="80"/>
              <w:left w:type="dxa" w:w="100"/>
              <w:bottom w:type="dxa" w:w="80"/>
              <w:right w:type="dxa" w:w="100"/>
            </w:tcMar>
            <w:vAlign w:val="center"/>
          </w:tcPr>
          <w:p>
            <w:pPr>
              <w:jc w:val="left"/>
            </w:pPr>
            <w:r>
              <w:rPr>
                <w:b w:val="false"/>
                <w:bCs w:val="false"/>
                <w:sz w:val="19"/>
                <w:szCs w:val="19"/>
              </w:rPr>
              <w:t xml:space="preserve">#D79A34</w:t>
            </w:r>
          </w:p>
        </w:tc>
        <w:tc>
          <w:tcPr>
            <w:tcW w:type="dxa" w:w="3600"/>
            <w:shd w:fill="FFFFFF" w:color="auto" w:val="clear"/>
            <w:tcMar>
              <w:top w:type="dxa" w:w="80"/>
              <w:left w:type="dxa" w:w="100"/>
              <w:bottom w:type="dxa" w:w="80"/>
              <w:right w:type="dxa" w:w="100"/>
            </w:tcMar>
            <w:vAlign w:val="center"/>
          </w:tcPr>
          <w:p>
            <w:pPr>
              <w:jc w:val="left"/>
            </w:pPr>
            <w:r>
              <w:rPr>
                <w:b w:val="false"/>
                <w:bCs w:val="false"/>
                <w:sz w:val="19"/>
                <w:szCs w:val="19"/>
              </w:rPr>
              <w:t xml:space="preserve">Accents secondaires, statuts intermédiaires</w:t>
            </w:r>
          </w:p>
        </w:tc>
      </w:tr>
      <w:tr>
        <w:tc>
          <w:tcPr>
            <w:tcW w:type="dxa" w:w="2600"/>
            <w:shd w:fill="F6F0E2" w:color="auto" w:val="clear"/>
            <w:tcMar>
              <w:top w:type="dxa" w:w="80"/>
              <w:left w:type="dxa" w:w="100"/>
              <w:bottom w:type="dxa" w:w="80"/>
              <w:right w:type="dxa" w:w="100"/>
            </w:tcMar>
            <w:vAlign w:val="center"/>
          </w:tcPr>
          <w:p>
            <w:pPr>
              <w:jc w:val="left"/>
            </w:pPr>
            <w:r>
              <w:rPr>
                <w:b w:val="false"/>
                <w:bCs w:val="false"/>
                <w:sz w:val="19"/>
                <w:szCs w:val="19"/>
              </w:rPr>
              <w:t xml:space="preserve">Mousse (vert)</w:t>
            </w:r>
          </w:p>
        </w:tc>
        <w:tc>
          <w:tcPr>
            <w:tcW w:type="dxa" w:w="3200"/>
            <w:shd w:fill="F6F0E2" w:color="auto" w:val="clear"/>
            <w:tcMar>
              <w:top w:type="dxa" w:w="80"/>
              <w:left w:type="dxa" w:w="100"/>
              <w:bottom w:type="dxa" w:w="80"/>
              <w:right w:type="dxa" w:w="100"/>
            </w:tcMar>
            <w:vAlign w:val="center"/>
          </w:tcPr>
          <w:p>
            <w:pPr>
              <w:jc w:val="left"/>
            </w:pPr>
            <w:r>
              <w:rPr>
                <w:b w:val="false"/>
                <w:bCs w:val="false"/>
                <w:sz w:val="19"/>
                <w:szCs w:val="19"/>
              </w:rPr>
              <w:t xml:space="preserve">#3F6B4A</w:t>
            </w:r>
          </w:p>
        </w:tc>
        <w:tc>
          <w:tcPr>
            <w:tcW w:type="dxa" w:w="3600"/>
            <w:shd w:fill="F6F0E2" w:color="auto" w:val="clear"/>
            <w:tcMar>
              <w:top w:type="dxa" w:w="80"/>
              <w:left w:type="dxa" w:w="100"/>
              <w:bottom w:type="dxa" w:w="80"/>
              <w:right w:type="dxa" w:w="100"/>
            </w:tcMar>
            <w:vAlign w:val="center"/>
          </w:tcPr>
          <w:p>
            <w:pPr>
              <w:jc w:val="left"/>
            </w:pPr>
            <w:r>
              <w:rPr>
                <w:b w:val="false"/>
                <w:bCs w:val="false"/>
                <w:sz w:val="19"/>
                <w:szCs w:val="19"/>
              </w:rPr>
              <w:t xml:space="preserve">Validation, module Agriculture, statuts sains</w:t>
            </w:r>
          </w:p>
        </w:tc>
      </w:tr>
      <w:tr>
        <w:tc>
          <w:tcPr>
            <w:tcW w:type="dxa" w:w="2600"/>
            <w:shd w:fill="FFFFFF" w:color="auto" w:val="clear"/>
            <w:tcMar>
              <w:top w:type="dxa" w:w="80"/>
              <w:left w:type="dxa" w:w="100"/>
              <w:bottom w:type="dxa" w:w="80"/>
              <w:right w:type="dxa" w:w="100"/>
            </w:tcMar>
            <w:vAlign w:val="center"/>
          </w:tcPr>
          <w:p>
            <w:pPr>
              <w:jc w:val="left"/>
            </w:pPr>
            <w:r>
              <w:rPr>
                <w:b w:val="false"/>
                <w:bCs w:val="false"/>
                <w:sz w:val="19"/>
                <w:szCs w:val="19"/>
              </w:rPr>
              <w:t xml:space="preserve">Coquille (nav.)</w:t>
            </w:r>
          </w:p>
        </w:tc>
        <w:tc>
          <w:tcPr>
            <w:tcW w:type="dxa" w:w="3200"/>
            <w:shd w:fill="FFFFFF" w:color="auto" w:val="clear"/>
            <w:tcMar>
              <w:top w:type="dxa" w:w="80"/>
              <w:left w:type="dxa" w:w="100"/>
              <w:bottom w:type="dxa" w:w="80"/>
              <w:right w:type="dxa" w:w="100"/>
            </w:tcMar>
            <w:vAlign w:val="center"/>
          </w:tcPr>
          <w:p>
            <w:pPr>
              <w:jc w:val="left"/>
            </w:pPr>
            <w:r>
              <w:rPr>
                <w:b w:val="false"/>
                <w:bCs w:val="false"/>
                <w:sz w:val="19"/>
                <w:szCs w:val="19"/>
              </w:rPr>
              <w:t xml:space="preserve">#20241F</w:t>
            </w:r>
          </w:p>
        </w:tc>
        <w:tc>
          <w:tcPr>
            <w:tcW w:type="dxa" w:w="3600"/>
            <w:shd w:fill="FFFFFF" w:color="auto" w:val="clear"/>
            <w:tcMar>
              <w:top w:type="dxa" w:w="80"/>
              <w:left w:type="dxa" w:w="100"/>
              <w:bottom w:type="dxa" w:w="80"/>
              <w:right w:type="dxa" w:w="100"/>
            </w:tcMar>
            <w:vAlign w:val="center"/>
          </w:tcPr>
          <w:p>
            <w:pPr>
              <w:jc w:val="left"/>
            </w:pPr>
            <w:r>
              <w:rPr>
                <w:b w:val="false"/>
                <w:bCs w:val="false"/>
                <w:sz w:val="19"/>
                <w:szCs w:val="19"/>
              </w:rPr>
              <w:t xml:space="preserve">Barre de navigation, éléments de structure</w:t>
            </w:r>
          </w:p>
        </w:tc>
      </w:tr>
      <w:tr>
        <w:tc>
          <w:tcPr>
            <w:tcW w:type="dxa" w:w="2600"/>
            <w:shd w:fill="F6F0E2" w:color="auto" w:val="clear"/>
            <w:tcMar>
              <w:top w:type="dxa" w:w="80"/>
              <w:left w:type="dxa" w:w="100"/>
              <w:bottom w:type="dxa" w:w="80"/>
              <w:right w:type="dxa" w:w="100"/>
            </w:tcMar>
            <w:vAlign w:val="center"/>
          </w:tcPr>
          <w:p>
            <w:pPr>
              <w:jc w:val="left"/>
            </w:pPr>
            <w:r>
              <w:rPr>
                <w:b w:val="false"/>
                <w:bCs w:val="false"/>
                <w:sz w:val="19"/>
                <w:szCs w:val="19"/>
              </w:rPr>
              <w:t xml:space="preserve">Typographie titres</w:t>
            </w:r>
          </w:p>
        </w:tc>
        <w:tc>
          <w:tcPr>
            <w:tcW w:type="dxa" w:w="3200"/>
            <w:shd w:fill="F6F0E2" w:color="auto" w:val="clear"/>
            <w:tcMar>
              <w:top w:type="dxa" w:w="80"/>
              <w:left w:type="dxa" w:w="100"/>
              <w:bottom w:type="dxa" w:w="80"/>
              <w:right w:type="dxa" w:w="100"/>
            </w:tcMar>
            <w:vAlign w:val="center"/>
          </w:tcPr>
          <w:p>
            <w:pPr>
              <w:jc w:val="left"/>
            </w:pPr>
            <w:r>
              <w:rPr>
                <w:b w:val="false"/>
                <w:bCs w:val="false"/>
                <w:sz w:val="19"/>
                <w:szCs w:val="19"/>
              </w:rPr>
              <w:t xml:space="preserve">Fraunces</w:t>
            </w:r>
          </w:p>
        </w:tc>
        <w:tc>
          <w:tcPr>
            <w:tcW w:type="dxa" w:w="3600"/>
            <w:shd w:fill="F6F0E2" w:color="auto" w:val="clear"/>
            <w:tcMar>
              <w:top w:type="dxa" w:w="80"/>
              <w:left w:type="dxa" w:w="100"/>
              <w:bottom w:type="dxa" w:w="80"/>
              <w:right w:type="dxa" w:w="100"/>
            </w:tcMar>
            <w:vAlign w:val="center"/>
          </w:tcPr>
          <w:p>
            <w:pPr>
              <w:jc w:val="left"/>
            </w:pPr>
            <w:r>
              <w:rPr>
                <w:b w:val="false"/>
                <w:bCs w:val="false"/>
                <w:sz w:val="19"/>
                <w:szCs w:val="19"/>
              </w:rPr>
              <w:t xml:space="preserve">Titres d'écran, wordmark Terra</w:t>
            </w:r>
          </w:p>
        </w:tc>
      </w:tr>
      <w:tr>
        <w:tc>
          <w:tcPr>
            <w:tcW w:type="dxa" w:w="2600"/>
            <w:shd w:fill="FFFFFF" w:color="auto" w:val="clear"/>
            <w:tcMar>
              <w:top w:type="dxa" w:w="80"/>
              <w:left w:type="dxa" w:w="100"/>
              <w:bottom w:type="dxa" w:w="80"/>
              <w:right w:type="dxa" w:w="100"/>
            </w:tcMar>
            <w:vAlign w:val="center"/>
          </w:tcPr>
          <w:p>
            <w:pPr>
              <w:jc w:val="left"/>
            </w:pPr>
            <w:r>
              <w:rPr>
                <w:b w:val="false"/>
                <w:bCs w:val="false"/>
                <w:sz w:val="19"/>
                <w:szCs w:val="19"/>
              </w:rPr>
              <w:t xml:space="preserve">Typographie interface</w:t>
            </w:r>
          </w:p>
        </w:tc>
        <w:tc>
          <w:tcPr>
            <w:tcW w:type="dxa" w:w="3200"/>
            <w:shd w:fill="FFFFFF" w:color="auto" w:val="clear"/>
            <w:tcMar>
              <w:top w:type="dxa" w:w="80"/>
              <w:left w:type="dxa" w:w="100"/>
              <w:bottom w:type="dxa" w:w="80"/>
              <w:right w:type="dxa" w:w="100"/>
            </w:tcMar>
            <w:vAlign w:val="center"/>
          </w:tcPr>
          <w:p>
            <w:pPr>
              <w:jc w:val="left"/>
            </w:pPr>
            <w:r>
              <w:rPr>
                <w:b w:val="false"/>
                <w:bCs w:val="false"/>
                <w:sz w:val="19"/>
                <w:szCs w:val="19"/>
              </w:rPr>
              <w:t xml:space="preserve">Space Grotesk</w:t>
            </w:r>
          </w:p>
        </w:tc>
        <w:tc>
          <w:tcPr>
            <w:tcW w:type="dxa" w:w="3600"/>
            <w:shd w:fill="FFFFFF" w:color="auto" w:val="clear"/>
            <w:tcMar>
              <w:top w:type="dxa" w:w="80"/>
              <w:left w:type="dxa" w:w="100"/>
              <w:bottom w:type="dxa" w:w="80"/>
              <w:right w:type="dxa" w:w="100"/>
            </w:tcMar>
            <w:vAlign w:val="center"/>
          </w:tcPr>
          <w:p>
            <w:pPr>
              <w:jc w:val="left"/>
            </w:pPr>
            <w:r>
              <w:rPr>
                <w:b w:val="false"/>
                <w:bCs w:val="false"/>
                <w:sz w:val="19"/>
                <w:szCs w:val="19"/>
              </w:rPr>
              <w:t xml:space="preserve">Texte courant, boutons, libellés</w:t>
            </w:r>
          </w:p>
        </w:tc>
      </w:tr>
      <w:tr>
        <w:tc>
          <w:tcPr>
            <w:tcW w:type="dxa" w:w="2600"/>
            <w:shd w:fill="F6F0E2" w:color="auto" w:val="clear"/>
            <w:tcMar>
              <w:top w:type="dxa" w:w="80"/>
              <w:left w:type="dxa" w:w="100"/>
              <w:bottom w:type="dxa" w:w="80"/>
              <w:right w:type="dxa" w:w="100"/>
            </w:tcMar>
            <w:vAlign w:val="center"/>
          </w:tcPr>
          <w:p>
            <w:pPr>
              <w:jc w:val="left"/>
            </w:pPr>
            <w:r>
              <w:rPr>
                <w:b w:val="false"/>
                <w:bCs w:val="false"/>
                <w:sz w:val="19"/>
                <w:szCs w:val="19"/>
              </w:rPr>
              <w:t xml:space="preserve">Icônes</w:t>
            </w:r>
          </w:p>
        </w:tc>
        <w:tc>
          <w:tcPr>
            <w:tcW w:type="dxa" w:w="3200"/>
            <w:shd w:fill="F6F0E2" w:color="auto" w:val="clear"/>
            <w:tcMar>
              <w:top w:type="dxa" w:w="80"/>
              <w:left w:type="dxa" w:w="100"/>
              <w:bottom w:type="dxa" w:w="80"/>
              <w:right w:type="dxa" w:w="100"/>
            </w:tcMar>
            <w:vAlign w:val="center"/>
          </w:tcPr>
          <w:p>
            <w:pPr>
              <w:jc w:val="left"/>
            </w:pPr>
            <w:r>
              <w:rPr>
                <w:b w:val="false"/>
                <w:bCs w:val="false"/>
                <w:sz w:val="19"/>
                <w:szCs w:val="19"/>
              </w:rPr>
              <w:t xml:space="preserve">Sprite SVG unique (symbol/use)</w:t>
            </w:r>
          </w:p>
        </w:tc>
        <w:tc>
          <w:tcPr>
            <w:tcW w:type="dxa" w:w="3600"/>
            <w:shd w:fill="F6F0E2" w:color="auto" w:val="clear"/>
            <w:tcMar>
              <w:top w:type="dxa" w:w="80"/>
              <w:left w:type="dxa" w:w="100"/>
              <w:bottom w:type="dxa" w:w="80"/>
              <w:right w:type="dxa" w:w="100"/>
            </w:tcMar>
            <w:vAlign w:val="center"/>
          </w:tcPr>
          <w:p>
            <w:pPr>
              <w:jc w:val="left"/>
            </w:pPr>
            <w:r>
              <w:rPr>
                <w:b w:val="false"/>
                <w:bCs w:val="false"/>
                <w:sz w:val="19"/>
                <w:szCs w:val="19"/>
              </w:rPr>
              <w:t xml:space="preserve">Aucune image bitmap dans l'interface</w:t>
            </w:r>
          </w:p>
        </w:tc>
      </w:tr>
    </w:tbl>
    <w:p>
      <w:pPr>
        <w:pStyle w:val="Heading1"/>
        <w:spacing w:after="200" w:before="400"/>
      </w:pPr>
      <w:r>
        <w:t xml:space="preserve">8. Plan de développement</w:t>
      </w:r>
    </w:p>
    <w:p>
      <w:pPr>
        <w:spacing w:after="160"/>
      </w:pPr>
      <w:r>
        <w:t xml:space="preserve">Le détail jour par jour, avec la personne assignée à chaque tâche et les dépendances entre tâches, est disponible dans le classeur « Terra — Répartition des tâches » qui accompagne cette documentation. Vue synthétique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000"/>
      </w:tblGrid>
      <w:tr>
        <w:trPr>
          <w:tblHeader/>
        </w:trPr>
        <w:tc>
          <w:tcPr>
            <w:tcW w:type="dxa" w:w="1800"/>
            <w:shd w:fill="20241F" w:color="auto" w:val="clear"/>
            <w:tcMar>
              <w:top w:type="dxa" w:w="80"/>
              <w:left w:type="dxa" w:w="100"/>
              <w:bottom w:type="dxa" w:w="80"/>
              <w:right w:type="dxa" w:w="100"/>
            </w:tcMar>
            <w:vAlign w:val="center"/>
          </w:tcPr>
          <w:p>
            <w:pPr>
              <w:jc w:val="left"/>
            </w:pPr>
            <w:r>
              <w:rPr>
                <w:b/>
                <w:bCs/>
                <w:color w:val="FFFFFF"/>
                <w:sz w:val="19"/>
                <w:szCs w:val="19"/>
              </w:rPr>
              <w:t xml:space="preserve">Semaine</w:t>
            </w:r>
          </w:p>
        </w:tc>
        <w:tc>
          <w:tcPr>
            <w:tcW w:type="dxa" w:w="3600"/>
            <w:shd w:fill="20241F" w:color="auto" w:val="clear"/>
            <w:tcMar>
              <w:top w:type="dxa" w:w="80"/>
              <w:left w:type="dxa" w:w="100"/>
              <w:bottom w:type="dxa" w:w="80"/>
              <w:right w:type="dxa" w:w="100"/>
            </w:tcMar>
            <w:vAlign w:val="center"/>
          </w:tcPr>
          <w:p>
            <w:pPr>
              <w:jc w:val="left"/>
            </w:pPr>
            <w:r>
              <w:rPr>
                <w:b/>
                <w:bCs/>
                <w:color w:val="FFFFFF"/>
                <w:sz w:val="19"/>
                <w:szCs w:val="19"/>
              </w:rPr>
              <w:t xml:space="preserve">Objectif principal</w:t>
            </w:r>
          </w:p>
        </w:tc>
        <w:tc>
          <w:tcPr>
            <w:tcW w:type="dxa" w:w="4000"/>
            <w:shd w:fill="20241F" w:color="auto" w:val="clear"/>
            <w:tcMar>
              <w:top w:type="dxa" w:w="80"/>
              <w:left w:type="dxa" w:w="100"/>
              <w:bottom w:type="dxa" w:w="80"/>
              <w:right w:type="dxa" w:w="100"/>
            </w:tcMar>
            <w:vAlign w:val="center"/>
          </w:tcPr>
          <w:p>
            <w:pPr>
              <w:jc w:val="left"/>
            </w:pPr>
            <w:r>
              <w:rPr>
                <w:b/>
                <w:bCs/>
                <w:color w:val="FFFFFF"/>
                <w:sz w:val="19"/>
                <w:szCs w:val="19"/>
              </w:rPr>
              <w:t xml:space="preserve">Livrable de fin de semaine</w:t>
            </w:r>
          </w:p>
        </w:tc>
      </w:tr>
      <w:tr>
        <w:tc>
          <w:tcPr>
            <w:tcW w:type="dxa" w:w="1800"/>
            <w:shd w:fill="FFFFFF" w:color="auto" w:val="clear"/>
            <w:tcMar>
              <w:top w:type="dxa" w:w="80"/>
              <w:left w:type="dxa" w:w="100"/>
              <w:bottom w:type="dxa" w:w="80"/>
              <w:right w:type="dxa" w:w="100"/>
            </w:tcMar>
            <w:vAlign w:val="center"/>
          </w:tcPr>
          <w:p>
            <w:pPr>
              <w:jc w:val="left"/>
            </w:pPr>
            <w:r>
              <w:rPr>
                <w:b w:val="false"/>
                <w:bCs w:val="false"/>
                <w:sz w:val="19"/>
                <w:szCs w:val="19"/>
              </w:rPr>
              <w:t xml:space="preserve">Semaine 1</w:t>
            </w:r>
          </w:p>
        </w:tc>
        <w:tc>
          <w:tcPr>
            <w:tcW w:type="dxa" w:w="3600"/>
            <w:shd w:fill="FFFFFF" w:color="auto" w:val="clear"/>
            <w:tcMar>
              <w:top w:type="dxa" w:w="80"/>
              <w:left w:type="dxa" w:w="100"/>
              <w:bottom w:type="dxa" w:w="80"/>
              <w:right w:type="dxa" w:w="100"/>
            </w:tcMar>
            <w:vAlign w:val="center"/>
          </w:tcPr>
          <w:p>
            <w:pPr>
              <w:jc w:val="left"/>
            </w:pPr>
            <w:r>
              <w:rPr>
                <w:b w:val="false"/>
                <w:bCs w:val="false"/>
                <w:sz w:val="19"/>
                <w:szCs w:val="19"/>
              </w:rPr>
              <w:t xml:space="preserve">Fondations : repo, Supabase, design system, socle offline</w:t>
            </w:r>
          </w:p>
        </w:tc>
        <w:tc>
          <w:tcPr>
            <w:tcW w:type="dxa" w:w="4000"/>
            <w:shd w:fill="FFFFFF" w:color="auto" w:val="clear"/>
            <w:tcMar>
              <w:top w:type="dxa" w:w="80"/>
              <w:left w:type="dxa" w:w="100"/>
              <w:bottom w:type="dxa" w:w="80"/>
              <w:right w:type="dxa" w:w="100"/>
            </w:tcMar>
            <w:vAlign w:val="center"/>
          </w:tcPr>
          <w:p>
            <w:pPr>
              <w:jc w:val="left"/>
            </w:pPr>
            <w:r>
              <w:rPr>
                <w:b w:val="false"/>
                <w:bCs w:val="false"/>
                <w:sz w:val="19"/>
                <w:szCs w:val="19"/>
              </w:rPr>
              <w:t xml:space="preserve">Application qui se lance, navigue entre les 5 onglets, avec l'écran d'accueil</w:t>
            </w:r>
          </w:p>
        </w:tc>
      </w:tr>
      <w:tr>
        <w:tc>
          <w:tcPr>
            <w:tcW w:type="dxa" w:w="1800"/>
            <w:shd w:fill="F6F0E2" w:color="auto" w:val="clear"/>
            <w:tcMar>
              <w:top w:type="dxa" w:w="80"/>
              <w:left w:type="dxa" w:w="100"/>
              <w:bottom w:type="dxa" w:w="80"/>
              <w:right w:type="dxa" w:w="100"/>
            </w:tcMar>
            <w:vAlign w:val="center"/>
          </w:tcPr>
          <w:p>
            <w:pPr>
              <w:jc w:val="left"/>
            </w:pPr>
            <w:r>
              <w:rPr>
                <w:b w:val="false"/>
                <w:bCs w:val="false"/>
                <w:sz w:val="19"/>
                <w:szCs w:val="19"/>
              </w:rPr>
              <w:t xml:space="preserve">Semaine 2</w:t>
            </w:r>
          </w:p>
        </w:tc>
        <w:tc>
          <w:tcPr>
            <w:tcW w:type="dxa" w:w="3600"/>
            <w:shd w:fill="F6F0E2" w:color="auto" w:val="clear"/>
            <w:tcMar>
              <w:top w:type="dxa" w:w="80"/>
              <w:left w:type="dxa" w:w="100"/>
              <w:bottom w:type="dxa" w:w="80"/>
              <w:right w:type="dxa" w:w="100"/>
            </w:tcMar>
            <w:vAlign w:val="center"/>
          </w:tcPr>
          <w:p>
            <w:pPr>
              <w:jc w:val="left"/>
            </w:pPr>
            <w:r>
              <w:rPr>
                <w:b w:val="false"/>
                <w:bCs w:val="false"/>
                <w:sz w:val="19"/>
                <w:szCs w:val="19"/>
              </w:rPr>
              <w:t xml:space="preserve">Développement des 4 modules en parallèle</w:t>
            </w:r>
          </w:p>
        </w:tc>
        <w:tc>
          <w:tcPr>
            <w:tcW w:type="dxa" w:w="4000"/>
            <w:shd w:fill="F6F0E2" w:color="auto" w:val="clear"/>
            <w:tcMar>
              <w:top w:type="dxa" w:w="80"/>
              <w:left w:type="dxa" w:w="100"/>
              <w:bottom w:type="dxa" w:w="80"/>
              <w:right w:type="dxa" w:w="100"/>
            </w:tcMar>
            <w:vAlign w:val="center"/>
          </w:tcPr>
          <w:p>
            <w:pPr>
              <w:jc w:val="left"/>
            </w:pPr>
            <w:r>
              <w:rPr>
                <w:b w:val="false"/>
                <w:bCs w:val="false"/>
                <w:sz w:val="19"/>
                <w:szCs w:val="19"/>
              </w:rPr>
              <w:t xml:space="preserve">Chaque module fonctionne isolément avec ses propres données</w:t>
            </w:r>
          </w:p>
        </w:tc>
      </w:tr>
      <w:tr>
        <w:tc>
          <w:tcPr>
            <w:tcW w:type="dxa" w:w="1800"/>
            <w:shd w:fill="FFFFFF" w:color="auto" w:val="clear"/>
            <w:tcMar>
              <w:top w:type="dxa" w:w="80"/>
              <w:left w:type="dxa" w:w="100"/>
              <w:bottom w:type="dxa" w:w="80"/>
              <w:right w:type="dxa" w:w="100"/>
            </w:tcMar>
            <w:vAlign w:val="center"/>
          </w:tcPr>
          <w:p>
            <w:pPr>
              <w:jc w:val="left"/>
            </w:pPr>
            <w:r>
              <w:rPr>
                <w:b w:val="false"/>
                <w:bCs w:val="false"/>
                <w:sz w:val="19"/>
                <w:szCs w:val="19"/>
              </w:rPr>
              <w:t xml:space="preserve">Semaine 3</w:t>
            </w:r>
          </w:p>
        </w:tc>
        <w:tc>
          <w:tcPr>
            <w:tcW w:type="dxa" w:w="3600"/>
            <w:shd w:fill="FFFFFF" w:color="auto" w:val="clear"/>
            <w:tcMar>
              <w:top w:type="dxa" w:w="80"/>
              <w:left w:type="dxa" w:w="100"/>
              <w:bottom w:type="dxa" w:w="80"/>
              <w:right w:type="dxa" w:w="100"/>
            </w:tcMar>
            <w:vAlign w:val="center"/>
          </w:tcPr>
          <w:p>
            <w:pPr>
              <w:jc w:val="left"/>
            </w:pPr>
            <w:r>
              <w:rPr>
                <w:b w:val="false"/>
                <w:bCs w:val="false"/>
                <w:sz w:val="19"/>
                <w:szCs w:val="19"/>
              </w:rPr>
              <w:t xml:space="preserve">Intégration, tests, polish, pitch</w:t>
            </w:r>
          </w:p>
        </w:tc>
        <w:tc>
          <w:tcPr>
            <w:tcW w:type="dxa" w:w="4000"/>
            <w:shd w:fill="FFFFFF" w:color="auto" w:val="clear"/>
            <w:tcMar>
              <w:top w:type="dxa" w:w="80"/>
              <w:left w:type="dxa" w:w="100"/>
              <w:bottom w:type="dxa" w:w="80"/>
              <w:right w:type="dxa" w:w="100"/>
            </w:tcMar>
            <w:vAlign w:val="center"/>
          </w:tcPr>
          <w:p>
            <w:pPr>
              <w:jc w:val="left"/>
            </w:pPr>
            <w:r>
              <w:rPr>
                <w:b w:val="false"/>
                <w:bCs w:val="false"/>
                <w:sz w:val="19"/>
                <w:szCs w:val="19"/>
              </w:rPr>
              <w:t xml:space="preserve">Application complète, vidéo de démonstration, soumission Devpost</w:t>
            </w:r>
          </w:p>
        </w:tc>
      </w:tr>
    </w:tbl>
    <w:p>
      <w:pPr>
        <w:pStyle w:val="Heading1"/>
        <w:spacing w:after="200" w:before="400"/>
      </w:pPr>
      <w:r>
        <w:t xml:space="preserve">9. Alignement avec les critères de jugement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20241F" w:color="auto" w:val="clear"/>
            <w:tcMar>
              <w:top w:type="dxa" w:w="80"/>
              <w:left w:type="dxa" w:w="100"/>
              <w:bottom w:type="dxa" w:w="80"/>
              <w:right w:type="dxa" w:w="100"/>
            </w:tcMar>
            <w:vAlign w:val="center"/>
          </w:tcPr>
          <w:p>
            <w:pPr>
              <w:jc w:val="left"/>
            </w:pPr>
            <w:r>
              <w:rPr>
                <w:b/>
                <w:bCs/>
                <w:color w:val="FFFFFF"/>
                <w:sz w:val="19"/>
                <w:szCs w:val="19"/>
              </w:rPr>
              <w:t xml:space="preserve">Critère</w:t>
            </w:r>
          </w:p>
        </w:tc>
        <w:tc>
          <w:tcPr>
            <w:tcW w:type="dxa" w:w="6800"/>
            <w:shd w:fill="20241F" w:color="auto" w:val="clear"/>
            <w:tcMar>
              <w:top w:type="dxa" w:w="80"/>
              <w:left w:type="dxa" w:w="100"/>
              <w:bottom w:type="dxa" w:w="80"/>
              <w:right w:type="dxa" w:w="100"/>
            </w:tcMar>
            <w:vAlign w:val="center"/>
          </w:tcPr>
          <w:p>
            <w:pPr>
              <w:jc w:val="left"/>
            </w:pPr>
            <w:r>
              <w:rPr>
                <w:b/>
                <w:bCs/>
                <w:color w:val="FFFFFF"/>
                <w:sz w:val="19"/>
                <w:szCs w:val="19"/>
              </w:rPr>
              <w:t xml:space="preserve">Comment Terra y répond</w:t>
            </w:r>
          </w:p>
        </w:tc>
      </w:tr>
      <w:tr>
        <w:tc>
          <w:tcPr>
            <w:tcW w:type="dxa" w:w="2600"/>
            <w:shd w:fill="FFFFFF" w:color="auto" w:val="clear"/>
            <w:tcMar>
              <w:top w:type="dxa" w:w="80"/>
              <w:left w:type="dxa" w:w="100"/>
              <w:bottom w:type="dxa" w:w="80"/>
              <w:right w:type="dxa" w:w="100"/>
            </w:tcMar>
            <w:vAlign w:val="center"/>
          </w:tcPr>
          <w:p>
            <w:pPr>
              <w:jc w:val="left"/>
            </w:pPr>
            <w:r>
              <w:rPr>
                <w:b w:val="false"/>
                <w:bCs w:val="false"/>
                <w:sz w:val="19"/>
                <w:szCs w:val="19"/>
              </w:rPr>
              <w:t xml:space="preserve">Adherence to Track</w:t>
            </w:r>
          </w:p>
        </w:tc>
        <w:tc>
          <w:tcPr>
            <w:tcW w:type="dxa" w:w="6800"/>
            <w:shd w:fill="FFFFFF" w:color="auto" w:val="clear"/>
            <w:tcMar>
              <w:top w:type="dxa" w:w="80"/>
              <w:left w:type="dxa" w:w="100"/>
              <w:bottom w:type="dxa" w:w="80"/>
              <w:right w:type="dxa" w:w="100"/>
            </w:tcMar>
            <w:vAlign w:val="center"/>
          </w:tcPr>
          <w:p>
            <w:pPr>
              <w:jc w:val="left"/>
            </w:pPr>
            <w:r>
              <w:rPr>
                <w:b w:val="false"/>
                <w:bCs w:val="false"/>
                <w:sz w:val="19"/>
                <w:szCs w:val="19"/>
              </w:rPr>
              <w:t xml:space="preserve">Les trois modules couvrent trois angles concrets du thème Earth Forward : agriculture, déchets, écosystème.</w:t>
            </w:r>
          </w:p>
        </w:tc>
      </w:tr>
      <w:tr>
        <w:tc>
          <w:tcPr>
            <w:tcW w:type="dxa" w:w="2600"/>
            <w:shd w:fill="F6F0E2" w:color="auto" w:val="clear"/>
            <w:tcMar>
              <w:top w:type="dxa" w:w="80"/>
              <w:left w:type="dxa" w:w="100"/>
              <w:bottom w:type="dxa" w:w="80"/>
              <w:right w:type="dxa" w:w="100"/>
            </w:tcMar>
            <w:vAlign w:val="center"/>
          </w:tcPr>
          <w:p>
            <w:pPr>
              <w:jc w:val="left"/>
            </w:pPr>
            <w:r>
              <w:rPr>
                <w:b w:val="false"/>
                <w:bCs w:val="false"/>
                <w:sz w:val="19"/>
                <w:szCs w:val="19"/>
              </w:rPr>
              <w:t xml:space="preserve">Completion</w:t>
            </w:r>
          </w:p>
        </w:tc>
        <w:tc>
          <w:tcPr>
            <w:tcW w:type="dxa" w:w="6800"/>
            <w:shd w:fill="F6F0E2" w:color="auto" w:val="clear"/>
            <w:tcMar>
              <w:top w:type="dxa" w:w="80"/>
              <w:left w:type="dxa" w:w="100"/>
              <w:bottom w:type="dxa" w:w="80"/>
              <w:right w:type="dxa" w:w="100"/>
            </w:tcMar>
            <w:vAlign w:val="center"/>
          </w:tcPr>
          <w:p>
            <w:pPr>
              <w:jc w:val="left"/>
            </w:pPr>
            <w:r>
              <w:rPr>
                <w:b w:val="false"/>
                <w:bCs w:val="false"/>
                <w:sz w:val="19"/>
                <w:szCs w:val="19"/>
              </w:rPr>
              <w:t xml:space="preserve">Les 4 modules et le chatbot sont entièrement fonctionnels, pas de maquette vide ; la synchronisation offline est testée en semaine 3.</w:t>
            </w:r>
          </w:p>
        </w:tc>
      </w:tr>
      <w:tr>
        <w:tc>
          <w:tcPr>
            <w:tcW w:type="dxa" w:w="2600"/>
            <w:shd w:fill="FFFFFF" w:color="auto" w:val="clear"/>
            <w:tcMar>
              <w:top w:type="dxa" w:w="80"/>
              <w:left w:type="dxa" w:w="100"/>
              <w:bottom w:type="dxa" w:w="80"/>
              <w:right w:type="dxa" w:w="100"/>
            </w:tcMar>
            <w:vAlign w:val="center"/>
          </w:tcPr>
          <w:p>
            <w:pPr>
              <w:jc w:val="left"/>
            </w:pPr>
            <w:r>
              <w:rPr>
                <w:b w:val="false"/>
                <w:bCs w:val="false"/>
                <w:sz w:val="19"/>
                <w:szCs w:val="19"/>
              </w:rPr>
              <w:t xml:space="preserve">Technology</w:t>
            </w:r>
          </w:p>
        </w:tc>
        <w:tc>
          <w:tcPr>
            <w:tcW w:type="dxa" w:w="6800"/>
            <w:shd w:fill="FFFFFF" w:color="auto" w:val="clear"/>
            <w:tcMar>
              <w:top w:type="dxa" w:w="80"/>
              <w:left w:type="dxa" w:w="100"/>
              <w:bottom w:type="dxa" w:w="80"/>
              <w:right w:type="dxa" w:w="100"/>
            </w:tcMar>
            <w:vAlign w:val="center"/>
          </w:tcPr>
          <w:p>
            <w:pPr>
              <w:jc w:val="left"/>
            </w:pPr>
            <w:r>
              <w:rPr>
                <w:b w:val="false"/>
                <w:bCs w:val="false"/>
                <w:sz w:val="19"/>
                <w:szCs w:val="19"/>
              </w:rPr>
              <w:t xml:space="preserve">IA embarquée pour le diagnostic (fonctionne hors ligne), assistant hybride offline/API, architecture Supabase avec agrégation automatique des signaux.</w:t>
            </w:r>
          </w:p>
        </w:tc>
      </w:tr>
      <w:tr>
        <w:tc>
          <w:tcPr>
            <w:tcW w:type="dxa" w:w="2600"/>
            <w:shd w:fill="F6F0E2" w:color="auto" w:val="clear"/>
            <w:tcMar>
              <w:top w:type="dxa" w:w="80"/>
              <w:left w:type="dxa" w:w="100"/>
              <w:bottom w:type="dxa" w:w="80"/>
              <w:right w:type="dxa" w:w="100"/>
            </w:tcMar>
            <w:vAlign w:val="center"/>
          </w:tcPr>
          <w:p>
            <w:pPr>
              <w:jc w:val="left"/>
            </w:pPr>
            <w:r>
              <w:rPr>
                <w:b w:val="false"/>
                <w:bCs w:val="false"/>
                <w:sz w:val="19"/>
                <w:szCs w:val="19"/>
              </w:rPr>
              <w:t xml:space="preserve">Design</w:t>
            </w:r>
          </w:p>
        </w:tc>
        <w:tc>
          <w:tcPr>
            <w:tcW w:type="dxa" w:w="6800"/>
            <w:shd w:fill="F6F0E2" w:color="auto" w:val="clear"/>
            <w:tcMar>
              <w:top w:type="dxa" w:w="80"/>
              <w:left w:type="dxa" w:w="100"/>
              <w:bottom w:type="dxa" w:w="80"/>
              <w:right w:type="dxa" w:w="100"/>
            </w:tcMar>
            <w:vAlign w:val="center"/>
          </w:tcPr>
          <w:p>
            <w:pPr>
              <w:jc w:val="left"/>
            </w:pPr>
            <w:r>
              <w:rPr>
                <w:b w:val="false"/>
                <w:bCs w:val="false"/>
                <w:sz w:val="19"/>
                <w:szCs w:val="19"/>
              </w:rPr>
              <w:t xml:space="preserve">Identité visuelle distincte, pensée pour un usage terrain, icônes SVG cohérentes, accessibilité (taille de texte, thèmes).</w:t>
            </w:r>
          </w:p>
        </w:tc>
      </w:tr>
      <w:tr>
        <w:tc>
          <w:tcPr>
            <w:tcW w:type="dxa" w:w="2600"/>
            <w:shd w:fill="FFFFFF" w:color="auto" w:val="clear"/>
            <w:tcMar>
              <w:top w:type="dxa" w:w="80"/>
              <w:left w:type="dxa" w:w="100"/>
              <w:bottom w:type="dxa" w:w="80"/>
              <w:right w:type="dxa" w:w="100"/>
            </w:tcMar>
            <w:vAlign w:val="center"/>
          </w:tcPr>
          <w:p>
            <w:pPr>
              <w:jc w:val="left"/>
            </w:pPr>
            <w:r>
              <w:rPr>
                <w:b w:val="false"/>
                <w:bCs w:val="false"/>
                <w:sz w:val="19"/>
                <w:szCs w:val="19"/>
              </w:rPr>
              <w:t xml:space="preserve">Learning</w:t>
            </w:r>
          </w:p>
        </w:tc>
        <w:tc>
          <w:tcPr>
            <w:tcW w:type="dxa" w:w="6800"/>
            <w:shd w:fill="FFFFFF" w:color="auto" w:val="clear"/>
            <w:tcMar>
              <w:top w:type="dxa" w:w="80"/>
              <w:left w:type="dxa" w:w="100"/>
              <w:bottom w:type="dxa" w:w="80"/>
              <w:right w:type="dxa" w:w="100"/>
            </w:tcMar>
            <w:vAlign w:val="center"/>
          </w:tcPr>
          <w:p>
            <w:pPr>
              <w:jc w:val="left"/>
            </w:pPr>
            <w:r>
              <w:rPr>
                <w:b w:val="false"/>
                <w:bCs w:val="false"/>
                <w:sz w:val="19"/>
                <w:szCs w:val="19"/>
              </w:rPr>
              <w:t xml:space="preserve">Équipe de 4 répartie par module, avec des compétences nouvelles à développer (IA embarquée, offline-first, RLS Supabase).</w:t>
            </w:r>
          </w:p>
        </w:tc>
      </w:tr>
      <w:tr>
        <w:tc>
          <w:tcPr>
            <w:tcW w:type="dxa" w:w="2600"/>
            <w:shd w:fill="F6F0E2" w:color="auto" w:val="clear"/>
            <w:tcMar>
              <w:top w:type="dxa" w:w="80"/>
              <w:left w:type="dxa" w:w="100"/>
              <w:bottom w:type="dxa" w:w="80"/>
              <w:right w:type="dxa" w:w="100"/>
            </w:tcMar>
            <w:vAlign w:val="center"/>
          </w:tcPr>
          <w:p>
            <w:pPr>
              <w:jc w:val="left"/>
            </w:pPr>
            <w:r>
              <w:rPr>
                <w:b w:val="false"/>
                <w:bCs w:val="false"/>
                <w:sz w:val="19"/>
                <w:szCs w:val="19"/>
              </w:rPr>
              <w:t xml:space="preserve">Originality</w:t>
            </w:r>
          </w:p>
        </w:tc>
        <w:tc>
          <w:tcPr>
            <w:tcW w:type="dxa" w:w="6800"/>
            <w:shd w:fill="F6F0E2" w:color="auto" w:val="clear"/>
            <w:tcMar>
              <w:top w:type="dxa" w:w="80"/>
              <w:left w:type="dxa" w:w="100"/>
              <w:bottom w:type="dxa" w:w="80"/>
              <w:right w:type="dxa" w:w="100"/>
            </w:tcMar>
            <w:vAlign w:val="center"/>
          </w:tcPr>
          <w:p>
            <w:pPr>
              <w:jc w:val="left"/>
            </w:pPr>
            <w:r>
              <w:rPr>
                <w:b w:val="false"/>
                <w:bCs w:val="false"/>
                <w:sz w:val="19"/>
                <w:szCs w:val="19"/>
              </w:rPr>
              <w:t xml:space="preserve">Une seule plateforme communautaire reliant plusieurs enjeux environnementaux plutôt que trois applications isolées.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E3D6BB" w:sz="6"/>
      </w:pBdr>
      <w:spacing w:after="200" w:before="400"/>
    </w:pPr>
    <w:rPr>
      <w:b/>
      <w:bCs/>
      <w:color w:val="A8432A"/>
      <w:sz w:val="32"/>
      <w:szCs w:val="32"/>
    </w:rPr>
  </w:style>
  <w:style w:type="paragraph" w:styleId="Heading2">
    <w:name w:val="Heading 2"/>
    <w:basedOn w:val="Normal"/>
    <w:next w:val="Normal"/>
    <w:pPr>
      <w:spacing w:after="150" w:before="300"/>
    </w:pPr>
    <w:rPr>
      <w:b/>
      <w:bCs/>
      <w:color w:val="3F6B4A"/>
      <w:sz w:val="26"/>
      <w:szCs w:val="26"/>
    </w:rPr>
  </w:style>
  <w:style w:type="paragraph" w:styleId="Heading3">
    <w:name w:val="Heading 3"/>
    <w:basedOn w:val="Normal"/>
    <w:next w:val="Normal"/>
    <w:pPr>
      <w:spacing w:after="100" w:before="200"/>
    </w:pPr>
    <w:rPr>
      <w:b/>
      <w:bCs/>
      <w:color w:val="1C1A1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2026-09-01T10:53:28.758Z</dcterms:created>
  <dcterms:modified xsi:type="dcterms:W3CDTF">2026-09-01T10:53:28.771Z</dcterms:modified>
</cp:coreProperties>
</file>

<file path=docProps/custom.xml><?xml version="1.0" encoding="utf-8"?>
<Properties xmlns="http://schemas.openxmlformats.org/officeDocument/2006/custom-properties" xmlns:vt="http://schemas.openxmlformats.org/officeDocument/2006/docPropsVTypes"/>
</file>