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2D6C2A" w:rsidRPr="00FD4A68">
        <w:t xml:space="preserve"> </w:t>
      </w:r>
      <w:r w:rsidR="008B4B7B">
        <w:t xml:space="preserve">Propagating a Default Route in </w:t>
      </w:r>
      <w:r w:rsidR="0004788F">
        <w:t xml:space="preserve">EIGRP </w:t>
      </w:r>
      <w:r w:rsidR="0043340E">
        <w:t>for IPv4</w:t>
      </w:r>
      <w:r w:rsidR="008B4B7B">
        <w:t xml:space="preserve"> and IP</w:t>
      </w:r>
      <w:r w:rsidR="0004788F">
        <w:t>v6</w:t>
      </w:r>
    </w:p>
    <w:p w:rsidR="008C4307" w:rsidRDefault="001E38E0" w:rsidP="0004788F">
      <w:pPr>
        <w:pStyle w:val="LabSection"/>
      </w:pPr>
      <w:r>
        <w:t>Topology</w:t>
      </w:r>
    </w:p>
    <w:p w:rsidR="00137F83" w:rsidRPr="00137F83" w:rsidRDefault="009D30BC" w:rsidP="00137F83">
      <w:pPr>
        <w:pStyle w:val="BodyText1"/>
        <w:jc w:val="center"/>
      </w:pPr>
      <w:r>
        <w:rPr>
          <w:noProof/>
        </w:rPr>
        <w:drawing>
          <wp:inline distT="0" distB="0" distL="0" distR="0">
            <wp:extent cx="6400800" cy="2203450"/>
            <wp:effectExtent l="19050" t="0" r="0" b="0"/>
            <wp:docPr id="4" name="Picture 3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C5" w:rsidRPr="000B0C00" w:rsidRDefault="001941C5" w:rsidP="001941C5">
      <w:pPr>
        <w:pStyle w:val="LabSection"/>
      </w:pPr>
      <w:r w:rsidRPr="000B0C00">
        <w:t>Addressing Table</w:t>
      </w:r>
    </w:p>
    <w:tbl>
      <w:tblPr>
        <w:tblW w:w="58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33"/>
        <w:gridCol w:w="1120"/>
        <w:gridCol w:w="1732"/>
        <w:gridCol w:w="1732"/>
      </w:tblGrid>
      <w:tr w:rsidR="001941C5" w:rsidRPr="000B0C00" w:rsidTr="009D30BC">
        <w:trPr>
          <w:cantSplit/>
          <w:trHeight w:val="255"/>
          <w:jc w:val="center"/>
        </w:trPr>
        <w:tc>
          <w:tcPr>
            <w:tcW w:w="123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941C5" w:rsidRPr="000B0C00" w:rsidRDefault="001941C5" w:rsidP="005F7638">
            <w:pPr>
              <w:pStyle w:val="TableHeading"/>
            </w:pPr>
            <w:r w:rsidRPr="000B0C00">
              <w:t>Device</w:t>
            </w:r>
          </w:p>
        </w:tc>
        <w:tc>
          <w:tcPr>
            <w:tcW w:w="112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941C5" w:rsidRPr="000B0C00" w:rsidRDefault="001941C5" w:rsidP="005F7638">
            <w:pPr>
              <w:pStyle w:val="TableHeading"/>
            </w:pPr>
            <w:r w:rsidRPr="000B0C00">
              <w:t>Interface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941C5" w:rsidRPr="000B0C00" w:rsidRDefault="001941C5" w:rsidP="005F7638">
            <w:pPr>
              <w:pStyle w:val="TableHeading"/>
            </w:pPr>
            <w:r w:rsidRPr="000B0C00">
              <w:t>IPv4 Address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941C5" w:rsidRPr="000B0C00" w:rsidRDefault="001941C5" w:rsidP="005F7638">
            <w:pPr>
              <w:pStyle w:val="TableHeading"/>
            </w:pPr>
            <w:r w:rsidRPr="000B0C00">
              <w:t>Subnet Mask</w:t>
            </w:r>
          </w:p>
        </w:tc>
      </w:tr>
      <w:tr w:rsidR="001941C5" w:rsidRPr="000B0C00" w:rsidTr="009D30BC">
        <w:trPr>
          <w:cantSplit/>
          <w:trHeight w:val="255"/>
          <w:jc w:val="center"/>
        </w:trPr>
        <w:tc>
          <w:tcPr>
            <w:tcW w:w="123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941C5" w:rsidRPr="000B0C00" w:rsidRDefault="001941C5" w:rsidP="005F7638">
            <w:pPr>
              <w:pStyle w:val="TableHeading"/>
            </w:pPr>
          </w:p>
        </w:tc>
        <w:tc>
          <w:tcPr>
            <w:tcW w:w="112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941C5" w:rsidRPr="000B0C00" w:rsidRDefault="001941C5" w:rsidP="005F7638">
            <w:pPr>
              <w:pStyle w:val="TableHeading"/>
            </w:pPr>
          </w:p>
        </w:tc>
        <w:tc>
          <w:tcPr>
            <w:tcW w:w="346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941C5" w:rsidRPr="000B0C00" w:rsidRDefault="001941C5" w:rsidP="005F7638">
            <w:pPr>
              <w:pStyle w:val="TableHeading"/>
            </w:pPr>
            <w:r w:rsidRPr="000B0C00">
              <w:t>IPv6 Address/Prefix</w:t>
            </w:r>
          </w:p>
        </w:tc>
      </w:tr>
      <w:tr w:rsidR="001941C5" w:rsidRPr="000B0C00" w:rsidTr="009D30BC">
        <w:trPr>
          <w:cantSplit/>
          <w:jc w:val="center"/>
        </w:trPr>
        <w:tc>
          <w:tcPr>
            <w:tcW w:w="1233" w:type="dxa"/>
            <w:vMerge w:val="restart"/>
            <w:vAlign w:val="center"/>
          </w:tcPr>
          <w:p w:rsidR="001941C5" w:rsidRPr="00E87D62" w:rsidRDefault="001941C5" w:rsidP="005F7638">
            <w:pPr>
              <w:pStyle w:val="TableText"/>
            </w:pPr>
            <w:r>
              <w:t>IPv4-Edge</w:t>
            </w:r>
          </w:p>
        </w:tc>
        <w:tc>
          <w:tcPr>
            <w:tcW w:w="1120" w:type="dxa"/>
            <w:vAlign w:val="bottom"/>
          </w:tcPr>
          <w:p w:rsidR="001941C5" w:rsidRDefault="001941C5" w:rsidP="005F7638">
            <w:pPr>
              <w:pStyle w:val="TableText"/>
            </w:pPr>
            <w:r>
              <w:t>S0/0/0</w:t>
            </w:r>
          </w:p>
        </w:tc>
        <w:tc>
          <w:tcPr>
            <w:tcW w:w="1732" w:type="dxa"/>
            <w:vAlign w:val="bottom"/>
          </w:tcPr>
          <w:p w:rsidR="001941C5" w:rsidRDefault="001941C5" w:rsidP="005F7638">
            <w:pPr>
              <w:pStyle w:val="TableText"/>
            </w:pPr>
            <w:r>
              <w:t>172.31.6.1</w:t>
            </w:r>
          </w:p>
        </w:tc>
        <w:tc>
          <w:tcPr>
            <w:tcW w:w="1732" w:type="dxa"/>
            <w:vAlign w:val="bottom"/>
          </w:tcPr>
          <w:p w:rsidR="001941C5" w:rsidRDefault="001941C5" w:rsidP="005F7638">
            <w:pPr>
              <w:pStyle w:val="TableText"/>
            </w:pPr>
            <w:r>
              <w:t>255.255.255.0</w:t>
            </w:r>
          </w:p>
        </w:tc>
      </w:tr>
      <w:tr w:rsidR="001941C5" w:rsidRPr="000B0C00" w:rsidTr="009D30BC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1941C5" w:rsidRPr="000B0C00" w:rsidRDefault="001941C5" w:rsidP="005F7638">
            <w:pPr>
              <w:pStyle w:val="TableText"/>
            </w:pPr>
          </w:p>
        </w:tc>
        <w:tc>
          <w:tcPr>
            <w:tcW w:w="1120" w:type="dxa"/>
            <w:vAlign w:val="bottom"/>
          </w:tcPr>
          <w:p w:rsidR="001941C5" w:rsidRDefault="001941C5" w:rsidP="005F7638">
            <w:pPr>
              <w:pStyle w:val="TableText"/>
            </w:pPr>
            <w:r>
              <w:t>S0/0/1</w:t>
            </w:r>
          </w:p>
        </w:tc>
        <w:tc>
          <w:tcPr>
            <w:tcW w:w="1732" w:type="dxa"/>
            <w:vAlign w:val="bottom"/>
          </w:tcPr>
          <w:p w:rsidR="001941C5" w:rsidRDefault="001941C5" w:rsidP="005F7638">
            <w:pPr>
              <w:pStyle w:val="TableText"/>
            </w:pPr>
            <w:r>
              <w:t>172.31.7.1</w:t>
            </w:r>
          </w:p>
        </w:tc>
        <w:tc>
          <w:tcPr>
            <w:tcW w:w="1732" w:type="dxa"/>
            <w:vAlign w:val="bottom"/>
          </w:tcPr>
          <w:p w:rsidR="001941C5" w:rsidRDefault="001941C5" w:rsidP="005F7638">
            <w:pPr>
              <w:pStyle w:val="TableText"/>
            </w:pPr>
            <w:r>
              <w:t>255.255.255.0</w:t>
            </w:r>
          </w:p>
        </w:tc>
      </w:tr>
      <w:tr w:rsidR="001941C5" w:rsidRPr="000B0C00" w:rsidTr="009D30BC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1941C5" w:rsidRDefault="001941C5" w:rsidP="005F7638">
            <w:pPr>
              <w:pStyle w:val="TableText"/>
            </w:pPr>
          </w:p>
        </w:tc>
        <w:tc>
          <w:tcPr>
            <w:tcW w:w="1120" w:type="dxa"/>
            <w:vAlign w:val="bottom"/>
          </w:tcPr>
          <w:p w:rsidR="001941C5" w:rsidRDefault="001941C5" w:rsidP="005F7638">
            <w:pPr>
              <w:pStyle w:val="TableText"/>
            </w:pPr>
            <w:r>
              <w:t>S0/1/0</w:t>
            </w:r>
          </w:p>
        </w:tc>
        <w:tc>
          <w:tcPr>
            <w:tcW w:w="1732" w:type="dxa"/>
            <w:vAlign w:val="bottom"/>
          </w:tcPr>
          <w:p w:rsidR="001941C5" w:rsidRDefault="001941C5" w:rsidP="005F7638">
            <w:pPr>
              <w:pStyle w:val="TableText"/>
            </w:pPr>
            <w:r>
              <w:t>209.165.200.226</w:t>
            </w:r>
          </w:p>
        </w:tc>
        <w:tc>
          <w:tcPr>
            <w:tcW w:w="1732" w:type="dxa"/>
            <w:vAlign w:val="bottom"/>
          </w:tcPr>
          <w:p w:rsidR="001941C5" w:rsidRDefault="001941C5" w:rsidP="005F7638">
            <w:pPr>
              <w:pStyle w:val="TableText"/>
            </w:pPr>
            <w:r>
              <w:t>255.255.255.224</w:t>
            </w:r>
          </w:p>
        </w:tc>
      </w:tr>
      <w:tr w:rsidR="009D30BC" w:rsidRPr="000B0C00" w:rsidTr="009D30BC">
        <w:trPr>
          <w:cantSplit/>
          <w:jc w:val="center"/>
        </w:trPr>
        <w:tc>
          <w:tcPr>
            <w:tcW w:w="1233" w:type="dxa"/>
            <w:vMerge w:val="restart"/>
            <w:vAlign w:val="center"/>
          </w:tcPr>
          <w:p w:rsidR="009D30BC" w:rsidRDefault="009D30BC" w:rsidP="009D30BC">
            <w:pPr>
              <w:pStyle w:val="TableText"/>
            </w:pPr>
            <w:r>
              <w:t>Branch-1</w:t>
            </w:r>
          </w:p>
        </w:tc>
        <w:tc>
          <w:tcPr>
            <w:tcW w:w="1120" w:type="dxa"/>
            <w:vAlign w:val="bottom"/>
          </w:tcPr>
          <w:p w:rsidR="009D30BC" w:rsidRDefault="009D30BC" w:rsidP="005F7638">
            <w:pPr>
              <w:pStyle w:val="TableText"/>
            </w:pPr>
            <w:r>
              <w:t>G0/0</w:t>
            </w:r>
          </w:p>
        </w:tc>
        <w:tc>
          <w:tcPr>
            <w:tcW w:w="1732" w:type="dxa"/>
            <w:vAlign w:val="bottom"/>
          </w:tcPr>
          <w:p w:rsidR="009D30BC" w:rsidRDefault="009D30BC" w:rsidP="005F7638">
            <w:pPr>
              <w:pStyle w:val="TableText"/>
            </w:pPr>
            <w:r>
              <w:t>172.31.8.1</w:t>
            </w:r>
          </w:p>
        </w:tc>
        <w:tc>
          <w:tcPr>
            <w:tcW w:w="1732" w:type="dxa"/>
            <w:vAlign w:val="bottom"/>
          </w:tcPr>
          <w:p w:rsidR="009D30BC" w:rsidRDefault="009D30BC" w:rsidP="005F7638">
            <w:pPr>
              <w:pStyle w:val="TableText"/>
            </w:pPr>
            <w:r>
              <w:t>255.255.255.0</w:t>
            </w:r>
          </w:p>
        </w:tc>
      </w:tr>
      <w:tr w:rsidR="009D30BC" w:rsidRPr="000B0C00" w:rsidTr="009D30BC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9D30BC" w:rsidRPr="00E87D62" w:rsidRDefault="009D30BC" w:rsidP="005F7638">
            <w:pPr>
              <w:pStyle w:val="TableText"/>
            </w:pPr>
          </w:p>
        </w:tc>
        <w:tc>
          <w:tcPr>
            <w:tcW w:w="1120" w:type="dxa"/>
            <w:vAlign w:val="bottom"/>
          </w:tcPr>
          <w:p w:rsidR="009D30BC" w:rsidRPr="00E87D62" w:rsidRDefault="009D30BC" w:rsidP="005F7638">
            <w:pPr>
              <w:pStyle w:val="TableText"/>
            </w:pPr>
            <w:r>
              <w:t>S0/0/0</w:t>
            </w:r>
          </w:p>
        </w:tc>
        <w:tc>
          <w:tcPr>
            <w:tcW w:w="1732" w:type="dxa"/>
            <w:vAlign w:val="bottom"/>
          </w:tcPr>
          <w:p w:rsidR="009D30BC" w:rsidRPr="00E87D62" w:rsidRDefault="009D30BC" w:rsidP="005F7638">
            <w:pPr>
              <w:pStyle w:val="TableText"/>
            </w:pPr>
            <w:r>
              <w:t>172.31.6.2</w:t>
            </w:r>
          </w:p>
        </w:tc>
        <w:tc>
          <w:tcPr>
            <w:tcW w:w="1732" w:type="dxa"/>
            <w:vAlign w:val="bottom"/>
          </w:tcPr>
          <w:p w:rsidR="009D30BC" w:rsidRPr="00E87D62" w:rsidRDefault="009D30BC" w:rsidP="005F7638">
            <w:pPr>
              <w:pStyle w:val="TableText"/>
            </w:pPr>
            <w:r>
              <w:t>255.255.255.0</w:t>
            </w:r>
          </w:p>
        </w:tc>
      </w:tr>
      <w:tr w:rsidR="009D30BC" w:rsidRPr="000B0C00" w:rsidTr="009D30BC">
        <w:trPr>
          <w:cantSplit/>
          <w:jc w:val="center"/>
        </w:trPr>
        <w:tc>
          <w:tcPr>
            <w:tcW w:w="1233" w:type="dxa"/>
            <w:vMerge w:val="restart"/>
            <w:vAlign w:val="center"/>
          </w:tcPr>
          <w:p w:rsidR="009D30BC" w:rsidRDefault="009D30BC" w:rsidP="009D30BC">
            <w:pPr>
              <w:pStyle w:val="TableText"/>
            </w:pPr>
            <w:r>
              <w:t>Branch-2</w:t>
            </w:r>
          </w:p>
        </w:tc>
        <w:tc>
          <w:tcPr>
            <w:tcW w:w="1120" w:type="dxa"/>
            <w:vAlign w:val="bottom"/>
          </w:tcPr>
          <w:p w:rsidR="009D30BC" w:rsidRDefault="009D30BC" w:rsidP="005F7638">
            <w:pPr>
              <w:pStyle w:val="TableText"/>
            </w:pPr>
            <w:r>
              <w:t>G0/0</w:t>
            </w:r>
          </w:p>
        </w:tc>
        <w:tc>
          <w:tcPr>
            <w:tcW w:w="1732" w:type="dxa"/>
            <w:vAlign w:val="bottom"/>
          </w:tcPr>
          <w:p w:rsidR="009D30BC" w:rsidRDefault="009D30BC" w:rsidP="005F7638">
            <w:pPr>
              <w:pStyle w:val="TableText"/>
            </w:pPr>
            <w:r>
              <w:t>172.31.9.1</w:t>
            </w:r>
          </w:p>
        </w:tc>
        <w:tc>
          <w:tcPr>
            <w:tcW w:w="1732" w:type="dxa"/>
            <w:vAlign w:val="bottom"/>
          </w:tcPr>
          <w:p w:rsidR="009D30BC" w:rsidRDefault="009D30BC" w:rsidP="005F7638">
            <w:pPr>
              <w:pStyle w:val="TableText"/>
            </w:pPr>
            <w:r>
              <w:t>255.255.255.0</w:t>
            </w:r>
          </w:p>
        </w:tc>
      </w:tr>
      <w:tr w:rsidR="009D30BC" w:rsidRPr="000B0C00" w:rsidTr="009D30BC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9D30BC" w:rsidRPr="00E87D62" w:rsidRDefault="009D30BC" w:rsidP="005F7638">
            <w:pPr>
              <w:pStyle w:val="TableText"/>
            </w:pPr>
          </w:p>
        </w:tc>
        <w:tc>
          <w:tcPr>
            <w:tcW w:w="1120" w:type="dxa"/>
            <w:vAlign w:val="bottom"/>
          </w:tcPr>
          <w:p w:rsidR="009D30BC" w:rsidRPr="00E87D62" w:rsidRDefault="009D30BC" w:rsidP="005F7638">
            <w:pPr>
              <w:pStyle w:val="TableText"/>
            </w:pPr>
            <w:r>
              <w:t>S0/0/1</w:t>
            </w:r>
          </w:p>
        </w:tc>
        <w:tc>
          <w:tcPr>
            <w:tcW w:w="1732" w:type="dxa"/>
            <w:vAlign w:val="bottom"/>
          </w:tcPr>
          <w:p w:rsidR="009D30BC" w:rsidRPr="00E87D62" w:rsidRDefault="009D30BC" w:rsidP="005F7638">
            <w:pPr>
              <w:pStyle w:val="TableText"/>
            </w:pPr>
            <w:r>
              <w:t>172.31.7.2</w:t>
            </w:r>
          </w:p>
        </w:tc>
        <w:tc>
          <w:tcPr>
            <w:tcW w:w="1732" w:type="dxa"/>
            <w:vAlign w:val="bottom"/>
          </w:tcPr>
          <w:p w:rsidR="009D30BC" w:rsidRPr="00E87D62" w:rsidRDefault="009D30BC" w:rsidP="005F7638">
            <w:pPr>
              <w:pStyle w:val="TableText"/>
            </w:pPr>
            <w:r>
              <w:t>255.255.255.0</w:t>
            </w:r>
          </w:p>
        </w:tc>
      </w:tr>
      <w:tr w:rsidR="001941C5" w:rsidRPr="000B0C00" w:rsidTr="009D30BC">
        <w:trPr>
          <w:cantSplit/>
          <w:jc w:val="center"/>
        </w:trPr>
        <w:tc>
          <w:tcPr>
            <w:tcW w:w="1233" w:type="dxa"/>
            <w:vMerge w:val="restart"/>
            <w:vAlign w:val="center"/>
          </w:tcPr>
          <w:p w:rsidR="001941C5" w:rsidRPr="00E87D62" w:rsidRDefault="001941C5" w:rsidP="005F7638">
            <w:pPr>
              <w:pStyle w:val="TableText"/>
            </w:pPr>
            <w:r>
              <w:t>IPv6-Edge</w:t>
            </w:r>
          </w:p>
        </w:tc>
        <w:tc>
          <w:tcPr>
            <w:tcW w:w="1120" w:type="dxa"/>
            <w:vAlign w:val="bottom"/>
          </w:tcPr>
          <w:p w:rsidR="001941C5" w:rsidRDefault="001941C5" w:rsidP="005F7638">
            <w:pPr>
              <w:pStyle w:val="TableText"/>
            </w:pPr>
            <w:r>
              <w:t>S0/0/0</w:t>
            </w:r>
          </w:p>
        </w:tc>
        <w:tc>
          <w:tcPr>
            <w:tcW w:w="3464" w:type="dxa"/>
            <w:gridSpan w:val="2"/>
            <w:vAlign w:val="bottom"/>
          </w:tcPr>
          <w:p w:rsidR="001941C5" w:rsidRDefault="001941C5" w:rsidP="005F7638">
            <w:pPr>
              <w:pStyle w:val="TableText"/>
            </w:pPr>
            <w:r>
              <w:t>2001:DB8:ACAD:7::1/64</w:t>
            </w:r>
          </w:p>
        </w:tc>
      </w:tr>
      <w:tr w:rsidR="001941C5" w:rsidRPr="000B0C00" w:rsidTr="009D30BC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1941C5" w:rsidRPr="000B0C00" w:rsidRDefault="001941C5" w:rsidP="005F7638">
            <w:pPr>
              <w:pStyle w:val="TableText"/>
            </w:pPr>
          </w:p>
        </w:tc>
        <w:tc>
          <w:tcPr>
            <w:tcW w:w="1120" w:type="dxa"/>
            <w:vAlign w:val="bottom"/>
          </w:tcPr>
          <w:p w:rsidR="001941C5" w:rsidRDefault="001941C5" w:rsidP="005F7638">
            <w:pPr>
              <w:pStyle w:val="TableText"/>
            </w:pPr>
            <w:r>
              <w:t>S0/0/1</w:t>
            </w:r>
          </w:p>
        </w:tc>
        <w:tc>
          <w:tcPr>
            <w:tcW w:w="3464" w:type="dxa"/>
            <w:gridSpan w:val="2"/>
            <w:vAlign w:val="bottom"/>
          </w:tcPr>
          <w:p w:rsidR="001941C5" w:rsidRDefault="001941C5" w:rsidP="005F7638">
            <w:pPr>
              <w:pStyle w:val="TableText"/>
            </w:pPr>
            <w:r>
              <w:t>2001:DB8:ACAD:6::1/64</w:t>
            </w:r>
          </w:p>
        </w:tc>
      </w:tr>
      <w:tr w:rsidR="001941C5" w:rsidRPr="000B0C00" w:rsidTr="009D30BC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1941C5" w:rsidRPr="000B0C00" w:rsidRDefault="001941C5" w:rsidP="005F7638">
            <w:pPr>
              <w:pStyle w:val="TableText"/>
            </w:pPr>
          </w:p>
        </w:tc>
        <w:tc>
          <w:tcPr>
            <w:tcW w:w="1120" w:type="dxa"/>
            <w:vAlign w:val="bottom"/>
          </w:tcPr>
          <w:p w:rsidR="001941C5" w:rsidRDefault="001941C5" w:rsidP="005F7638">
            <w:pPr>
              <w:pStyle w:val="TableText"/>
            </w:pPr>
            <w:r>
              <w:t>S0/1/0</w:t>
            </w:r>
          </w:p>
        </w:tc>
        <w:tc>
          <w:tcPr>
            <w:tcW w:w="3464" w:type="dxa"/>
            <w:gridSpan w:val="2"/>
            <w:vAlign w:val="bottom"/>
          </w:tcPr>
          <w:p w:rsidR="001941C5" w:rsidRDefault="001941C5" w:rsidP="005F7638">
            <w:pPr>
              <w:pStyle w:val="TableText"/>
            </w:pPr>
            <w:r>
              <w:t>2001:DB8:CAFE:ABCD::2/164</w:t>
            </w:r>
          </w:p>
        </w:tc>
      </w:tr>
      <w:tr w:rsidR="009D30BC" w:rsidRPr="000B0C00" w:rsidTr="009D30BC">
        <w:trPr>
          <w:cantSplit/>
          <w:jc w:val="center"/>
        </w:trPr>
        <w:tc>
          <w:tcPr>
            <w:tcW w:w="1233" w:type="dxa"/>
            <w:vMerge w:val="restart"/>
            <w:vAlign w:val="center"/>
          </w:tcPr>
          <w:p w:rsidR="009D30BC" w:rsidRDefault="009D30BC" w:rsidP="009D30BC">
            <w:pPr>
              <w:pStyle w:val="TableText"/>
            </w:pPr>
            <w:r>
              <w:t>Branch-3</w:t>
            </w:r>
          </w:p>
        </w:tc>
        <w:tc>
          <w:tcPr>
            <w:tcW w:w="1120" w:type="dxa"/>
            <w:vAlign w:val="bottom"/>
          </w:tcPr>
          <w:p w:rsidR="009D30BC" w:rsidRDefault="009D30BC" w:rsidP="005F7638">
            <w:pPr>
              <w:pStyle w:val="TableText"/>
            </w:pPr>
            <w:r>
              <w:t>G0/0</w:t>
            </w:r>
          </w:p>
        </w:tc>
        <w:tc>
          <w:tcPr>
            <w:tcW w:w="3464" w:type="dxa"/>
            <w:gridSpan w:val="2"/>
            <w:vAlign w:val="bottom"/>
          </w:tcPr>
          <w:p w:rsidR="009D30BC" w:rsidRDefault="009D30BC" w:rsidP="005F7638">
            <w:pPr>
              <w:pStyle w:val="TableText"/>
            </w:pPr>
            <w:r>
              <w:t>2001:DB8:ACAD:8::1/64</w:t>
            </w:r>
          </w:p>
        </w:tc>
      </w:tr>
      <w:tr w:rsidR="009D30BC" w:rsidRPr="000B0C00" w:rsidTr="009D30BC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9D30BC" w:rsidRPr="00E87D62" w:rsidRDefault="009D30BC" w:rsidP="005F7638">
            <w:pPr>
              <w:pStyle w:val="TableText"/>
            </w:pPr>
          </w:p>
        </w:tc>
        <w:tc>
          <w:tcPr>
            <w:tcW w:w="1120" w:type="dxa"/>
            <w:vAlign w:val="bottom"/>
          </w:tcPr>
          <w:p w:rsidR="009D30BC" w:rsidRPr="00E87D62" w:rsidRDefault="009D30BC" w:rsidP="005F7638">
            <w:pPr>
              <w:pStyle w:val="TableText"/>
            </w:pPr>
            <w:r>
              <w:t>S0/0/0</w:t>
            </w:r>
          </w:p>
        </w:tc>
        <w:tc>
          <w:tcPr>
            <w:tcW w:w="3464" w:type="dxa"/>
            <w:gridSpan w:val="2"/>
            <w:vAlign w:val="bottom"/>
          </w:tcPr>
          <w:p w:rsidR="009D30BC" w:rsidRPr="00E87D62" w:rsidRDefault="009D30BC" w:rsidP="005F7638">
            <w:pPr>
              <w:pStyle w:val="TableText"/>
            </w:pPr>
            <w:r>
              <w:t>2001:DB8:ACAD:7::2/64</w:t>
            </w:r>
          </w:p>
        </w:tc>
      </w:tr>
      <w:tr w:rsidR="009D30BC" w:rsidRPr="000B0C00" w:rsidTr="009D30BC">
        <w:trPr>
          <w:cantSplit/>
          <w:jc w:val="center"/>
        </w:trPr>
        <w:tc>
          <w:tcPr>
            <w:tcW w:w="1233" w:type="dxa"/>
            <w:vMerge w:val="restart"/>
            <w:vAlign w:val="center"/>
          </w:tcPr>
          <w:p w:rsidR="009D30BC" w:rsidRDefault="009D30BC" w:rsidP="009D30BC">
            <w:pPr>
              <w:pStyle w:val="TableText"/>
            </w:pPr>
            <w:r>
              <w:t>Branch-4</w:t>
            </w:r>
          </w:p>
        </w:tc>
        <w:tc>
          <w:tcPr>
            <w:tcW w:w="1120" w:type="dxa"/>
            <w:vAlign w:val="bottom"/>
          </w:tcPr>
          <w:p w:rsidR="009D30BC" w:rsidRDefault="009D30BC" w:rsidP="005F7638">
            <w:pPr>
              <w:pStyle w:val="TableText"/>
            </w:pPr>
            <w:r>
              <w:t>G0/0</w:t>
            </w:r>
          </w:p>
        </w:tc>
        <w:tc>
          <w:tcPr>
            <w:tcW w:w="3464" w:type="dxa"/>
            <w:gridSpan w:val="2"/>
          </w:tcPr>
          <w:p w:rsidR="009D30BC" w:rsidRPr="00137F83" w:rsidRDefault="009D30BC" w:rsidP="005F7638">
            <w:pPr>
              <w:pStyle w:val="TableText"/>
            </w:pPr>
            <w:r>
              <w:t>2001:DB8:ACAD:9::1/64</w:t>
            </w:r>
          </w:p>
        </w:tc>
      </w:tr>
      <w:tr w:rsidR="009D30BC" w:rsidRPr="000B0C00" w:rsidTr="009D30BC">
        <w:trPr>
          <w:cantSplit/>
          <w:jc w:val="center"/>
        </w:trPr>
        <w:tc>
          <w:tcPr>
            <w:tcW w:w="1233" w:type="dxa"/>
            <w:vMerge/>
            <w:vAlign w:val="bottom"/>
          </w:tcPr>
          <w:p w:rsidR="009D30BC" w:rsidRPr="00E87D62" w:rsidRDefault="009D30BC" w:rsidP="005F7638">
            <w:pPr>
              <w:pStyle w:val="TableText"/>
            </w:pPr>
          </w:p>
        </w:tc>
        <w:tc>
          <w:tcPr>
            <w:tcW w:w="1120" w:type="dxa"/>
            <w:vAlign w:val="bottom"/>
          </w:tcPr>
          <w:p w:rsidR="009D30BC" w:rsidRPr="00E87D62" w:rsidRDefault="009D30BC" w:rsidP="005F7638">
            <w:pPr>
              <w:pStyle w:val="TableText"/>
            </w:pPr>
            <w:r>
              <w:t>S0/0/1</w:t>
            </w:r>
          </w:p>
        </w:tc>
        <w:tc>
          <w:tcPr>
            <w:tcW w:w="3464" w:type="dxa"/>
            <w:gridSpan w:val="2"/>
          </w:tcPr>
          <w:p w:rsidR="009D30BC" w:rsidRPr="00137F83" w:rsidRDefault="009D30BC" w:rsidP="005F7638">
            <w:pPr>
              <w:pStyle w:val="TableText"/>
            </w:pPr>
            <w:r w:rsidRPr="00137F83">
              <w:t>2001:DB8:ACAD:</w:t>
            </w:r>
            <w:r>
              <w:t>6:</w:t>
            </w:r>
            <w:r w:rsidRPr="00137F83">
              <w:t>::</w:t>
            </w:r>
            <w:r>
              <w:t>2/64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3C2226">
        <w:t xml:space="preserve">Propagate </w:t>
      </w:r>
      <w:r w:rsidR="009D30BC">
        <w:t>an IPv4 Default Route</w:t>
      </w:r>
    </w:p>
    <w:p w:rsidR="0004788F" w:rsidRDefault="0004788F" w:rsidP="0004788F">
      <w:pPr>
        <w:pStyle w:val="BodyTextL25Bold"/>
      </w:pPr>
      <w:r>
        <w:lastRenderedPageBreak/>
        <w:t xml:space="preserve">Part 2: </w:t>
      </w:r>
      <w:r w:rsidR="003C2226">
        <w:t xml:space="preserve">Propagate </w:t>
      </w:r>
      <w:r w:rsidR="009D30BC">
        <w:t>an IPv6 Default Route</w:t>
      </w:r>
    </w:p>
    <w:p w:rsidR="0087012B" w:rsidRDefault="0087012B" w:rsidP="0004788F">
      <w:pPr>
        <w:pStyle w:val="BodyTextL25Bold"/>
      </w:pPr>
      <w:r>
        <w:t>Part 3: Verify Connectivity</w:t>
      </w:r>
      <w:r w:rsidR="009D30BC">
        <w:t xml:space="preserve"> to Outside Hosts</w:t>
      </w:r>
    </w:p>
    <w:p w:rsidR="00C07FD9" w:rsidRDefault="00672919" w:rsidP="0014219C">
      <w:pPr>
        <w:pStyle w:val="LabSection"/>
      </w:pPr>
      <w:r>
        <w:t>Scenario</w:t>
      </w:r>
    </w:p>
    <w:p w:rsidR="0004788F" w:rsidRDefault="0004788F" w:rsidP="009D30BC">
      <w:pPr>
        <w:pStyle w:val="BodyTextL25"/>
        <w:rPr>
          <w:rStyle w:val="content"/>
        </w:rPr>
      </w:pPr>
      <w:r>
        <w:rPr>
          <w:rStyle w:val="content"/>
        </w:rPr>
        <w:t xml:space="preserve">In this activity, you will configure </w:t>
      </w:r>
      <w:r w:rsidR="003C2226">
        <w:rPr>
          <w:rStyle w:val="content"/>
        </w:rPr>
        <w:t>and pro</w:t>
      </w:r>
      <w:r w:rsidR="000474D8">
        <w:rPr>
          <w:rStyle w:val="content"/>
        </w:rPr>
        <w:t xml:space="preserve">pagate a default route in EIGRP </w:t>
      </w:r>
      <w:r w:rsidR="00D91AD6">
        <w:rPr>
          <w:rStyle w:val="content"/>
        </w:rPr>
        <w:t xml:space="preserve">for </w:t>
      </w:r>
      <w:r w:rsidR="003C2226">
        <w:rPr>
          <w:rStyle w:val="content"/>
        </w:rPr>
        <w:t>I</w:t>
      </w:r>
      <w:r w:rsidR="00D91AD6">
        <w:rPr>
          <w:rStyle w:val="content"/>
        </w:rPr>
        <w:t>Pv4</w:t>
      </w:r>
      <w:r>
        <w:rPr>
          <w:rStyle w:val="content"/>
        </w:rPr>
        <w:t xml:space="preserve"> and IPv6 network</w:t>
      </w:r>
      <w:r w:rsidR="00D91AD6">
        <w:rPr>
          <w:rStyle w:val="content"/>
        </w:rPr>
        <w:t>s</w:t>
      </w:r>
      <w:r>
        <w:rPr>
          <w:rStyle w:val="content"/>
        </w:rPr>
        <w:t xml:space="preserve">. </w:t>
      </w:r>
      <w:r w:rsidR="009D30BC">
        <w:rPr>
          <w:rStyle w:val="content"/>
        </w:rPr>
        <w:t>EIGRP is already configured. H</w:t>
      </w:r>
      <w:r w:rsidR="00D91AD6">
        <w:rPr>
          <w:rStyle w:val="content"/>
        </w:rPr>
        <w:t xml:space="preserve">owever, you are required to configure </w:t>
      </w:r>
      <w:r w:rsidR="003C2226">
        <w:rPr>
          <w:rStyle w:val="content"/>
        </w:rPr>
        <w:t xml:space="preserve">an </w:t>
      </w:r>
      <w:r w:rsidR="00D91AD6">
        <w:rPr>
          <w:rStyle w:val="content"/>
        </w:rPr>
        <w:t xml:space="preserve">IPv4 and </w:t>
      </w:r>
      <w:r w:rsidR="009D30BC">
        <w:rPr>
          <w:rStyle w:val="content"/>
        </w:rPr>
        <w:t xml:space="preserve">an </w:t>
      </w:r>
      <w:r w:rsidR="00D91AD6">
        <w:rPr>
          <w:rStyle w:val="content"/>
        </w:rPr>
        <w:t xml:space="preserve">IPv6 </w:t>
      </w:r>
      <w:r w:rsidR="003C2226">
        <w:rPr>
          <w:rStyle w:val="content"/>
        </w:rPr>
        <w:t>default route</w:t>
      </w:r>
      <w:r w:rsidR="009D30BC">
        <w:rPr>
          <w:rStyle w:val="content"/>
        </w:rPr>
        <w:t>. Then, you will configure the EIGRP routing process to propagate the default route to downstream EIGRP neighbors. Finally, you will verify the default routes by ping</w:t>
      </w:r>
      <w:r w:rsidR="000474D8">
        <w:rPr>
          <w:rStyle w:val="content"/>
        </w:rPr>
        <w:t>ing</w:t>
      </w:r>
      <w:r w:rsidR="009D30BC">
        <w:rPr>
          <w:rStyle w:val="content"/>
        </w:rPr>
        <w:t xml:space="preserve"> hosts outside the EIGRP routing domain.</w:t>
      </w:r>
    </w:p>
    <w:p w:rsidR="00D91AD6" w:rsidRDefault="003C2226" w:rsidP="00794DF8">
      <w:pPr>
        <w:pStyle w:val="PartHead"/>
      </w:pPr>
      <w:r>
        <w:t xml:space="preserve">Propagate a Default </w:t>
      </w:r>
      <w:r w:rsidR="00D91AD6">
        <w:t xml:space="preserve"> </w:t>
      </w:r>
      <w:r>
        <w:t xml:space="preserve">Route in </w:t>
      </w:r>
      <w:r w:rsidR="00D91AD6">
        <w:t>EIGRP</w:t>
      </w:r>
      <w:r>
        <w:t xml:space="preserve"> </w:t>
      </w:r>
      <w:r w:rsidR="00D91AD6">
        <w:t xml:space="preserve">for IPv4 </w:t>
      </w:r>
    </w:p>
    <w:p w:rsidR="00794DF8" w:rsidRDefault="00794DF8" w:rsidP="00D36018">
      <w:pPr>
        <w:pStyle w:val="StepHead"/>
      </w:pPr>
      <w:r>
        <w:t>Verify EI</w:t>
      </w:r>
      <w:r w:rsidR="00D36018">
        <w:t xml:space="preserve">GRP configuration on each IPv4 </w:t>
      </w:r>
      <w:r w:rsidR="00D91AD6">
        <w:t xml:space="preserve">enabled </w:t>
      </w:r>
      <w:r w:rsidR="00D36018">
        <w:t>router.</w:t>
      </w:r>
    </w:p>
    <w:p w:rsidR="009D30BC" w:rsidRDefault="00D36018" w:rsidP="009D30BC">
      <w:pPr>
        <w:pStyle w:val="BodyTextL25"/>
      </w:pPr>
      <w:r>
        <w:t>Display the routing table of each IPv4 enab</w:t>
      </w:r>
      <w:r w:rsidR="00D91AD6">
        <w:t>led router and verify that all IPv4 routes are visible.</w:t>
      </w:r>
    </w:p>
    <w:p w:rsidR="009D30BC" w:rsidRDefault="009D30BC" w:rsidP="006336C4">
      <w:pPr>
        <w:pStyle w:val="StepHead"/>
      </w:pPr>
      <w:r>
        <w:t>Configure an IPv4 default route.</w:t>
      </w:r>
    </w:p>
    <w:p w:rsidR="006336C4" w:rsidRDefault="006336C4" w:rsidP="009D30BC">
      <w:pPr>
        <w:pStyle w:val="BodyTextL25"/>
      </w:pPr>
      <w:r>
        <w:t>Configure</w:t>
      </w:r>
      <w:r w:rsidR="003C2226">
        <w:t xml:space="preserve"> </w:t>
      </w:r>
      <w:r w:rsidR="009D30BC">
        <w:t>a</w:t>
      </w:r>
      <w:r w:rsidR="003C2226">
        <w:t xml:space="preserve"> directly connected </w:t>
      </w:r>
      <w:r w:rsidR="009D30BC">
        <w:t xml:space="preserve">IPv4 default route on </w:t>
      </w:r>
      <w:r w:rsidR="009D30BC" w:rsidRPr="009D30BC">
        <w:rPr>
          <w:b/>
        </w:rPr>
        <w:t>IPv4-Edge</w:t>
      </w:r>
      <w:r w:rsidR="005D53AD">
        <w:t xml:space="preserve">. </w:t>
      </w:r>
      <w:r w:rsidR="003C2226">
        <w:t xml:space="preserve"> </w:t>
      </w:r>
    </w:p>
    <w:p w:rsidR="00DA24F5" w:rsidRDefault="005D53AD" w:rsidP="00DA24F5">
      <w:pPr>
        <w:pStyle w:val="StepHead"/>
      </w:pPr>
      <w:r>
        <w:t>Propag</w:t>
      </w:r>
      <w:r w:rsidR="009D30BC">
        <w:t>ate the default route in EIGRP</w:t>
      </w:r>
      <w:r>
        <w:t>.</w:t>
      </w:r>
    </w:p>
    <w:p w:rsidR="009D30BC" w:rsidRDefault="009D30BC" w:rsidP="009D30BC">
      <w:pPr>
        <w:pStyle w:val="BodyTextL25"/>
      </w:pPr>
      <w:r>
        <w:t>Configure the EIGRP routing process to propagate the default route.</w:t>
      </w:r>
    </w:p>
    <w:p w:rsidR="00DA24F5" w:rsidRDefault="00DA24F5" w:rsidP="00DA24F5">
      <w:pPr>
        <w:pStyle w:val="StepHead"/>
      </w:pPr>
      <w:r>
        <w:t>Verify</w:t>
      </w:r>
      <w:r w:rsidR="00997FE4">
        <w:t xml:space="preserve"> IPv4 </w:t>
      </w:r>
      <w:r w:rsidR="005D53AD">
        <w:t>default r</w:t>
      </w:r>
      <w:r>
        <w:t xml:space="preserve">oute </w:t>
      </w:r>
      <w:r w:rsidR="005D53AD">
        <w:t xml:space="preserve">is </w:t>
      </w:r>
      <w:r w:rsidR="009D30BC">
        <w:t>propagating.</w:t>
      </w:r>
    </w:p>
    <w:p w:rsidR="009D30BC" w:rsidRDefault="009D30BC" w:rsidP="009D30BC">
      <w:pPr>
        <w:pStyle w:val="BodyTextL25"/>
      </w:pPr>
      <w:r>
        <w:t xml:space="preserve">Display the routing tables for </w:t>
      </w:r>
      <w:r w:rsidRPr="009D30BC">
        <w:rPr>
          <w:b/>
        </w:rPr>
        <w:t>Branch-1</w:t>
      </w:r>
      <w:r>
        <w:t xml:space="preserve"> and </w:t>
      </w:r>
      <w:r w:rsidRPr="009D30BC">
        <w:rPr>
          <w:b/>
        </w:rPr>
        <w:t>Branch-2</w:t>
      </w:r>
      <w:r>
        <w:t xml:space="preserve"> to verify the default route is now installed.</w:t>
      </w:r>
    </w:p>
    <w:p w:rsidR="005D53AD" w:rsidRDefault="005D53AD" w:rsidP="005D53AD">
      <w:pPr>
        <w:pStyle w:val="PartHead"/>
      </w:pPr>
      <w:r>
        <w:t xml:space="preserve">Propagate a Default  Route in EIGRP for </w:t>
      </w:r>
      <w:r w:rsidR="009D30BC">
        <w:t>IPv6</w:t>
      </w:r>
      <w:r>
        <w:t xml:space="preserve"> </w:t>
      </w:r>
    </w:p>
    <w:p w:rsidR="009D30BC" w:rsidRDefault="009D30BC" w:rsidP="009D30BC">
      <w:pPr>
        <w:pStyle w:val="StepHead"/>
      </w:pPr>
      <w:r>
        <w:t>Verify EIGRP configuration on each IPv6 enabled router.</w:t>
      </w:r>
    </w:p>
    <w:p w:rsidR="009D30BC" w:rsidRDefault="009D30BC" w:rsidP="009D30BC">
      <w:pPr>
        <w:pStyle w:val="BodyTextL25"/>
      </w:pPr>
      <w:r>
        <w:t>Display the routing table of each IPv6 enabled router and verify that all IPv6 routes are visible.</w:t>
      </w:r>
    </w:p>
    <w:p w:rsidR="009D30BC" w:rsidRDefault="009D30BC" w:rsidP="009D30BC">
      <w:pPr>
        <w:pStyle w:val="StepHead"/>
      </w:pPr>
      <w:r>
        <w:t>Configure an IPv6 default route.</w:t>
      </w:r>
    </w:p>
    <w:p w:rsidR="009D30BC" w:rsidRDefault="009D30BC" w:rsidP="009D30BC">
      <w:pPr>
        <w:pStyle w:val="BodyTextL25"/>
      </w:pPr>
      <w:r>
        <w:t xml:space="preserve">Configure a directly connected IPv6 default route on </w:t>
      </w:r>
      <w:r>
        <w:rPr>
          <w:b/>
        </w:rPr>
        <w:t>IPv6</w:t>
      </w:r>
      <w:r w:rsidRPr="009D30BC">
        <w:rPr>
          <w:b/>
        </w:rPr>
        <w:t>-Edge</w:t>
      </w:r>
      <w:r>
        <w:t xml:space="preserve">.  </w:t>
      </w:r>
    </w:p>
    <w:p w:rsidR="009D30BC" w:rsidRDefault="009D30BC" w:rsidP="009D30BC">
      <w:pPr>
        <w:pStyle w:val="StepHead"/>
      </w:pPr>
      <w:r>
        <w:t>Propagate the default route in EIGRP.</w:t>
      </w:r>
    </w:p>
    <w:p w:rsidR="009D30BC" w:rsidRDefault="009D30BC" w:rsidP="009D30BC">
      <w:pPr>
        <w:pStyle w:val="BodyTextL25"/>
      </w:pPr>
      <w:r>
        <w:t>Configure the EIGRP routing process to propagate the default route.</w:t>
      </w:r>
    </w:p>
    <w:p w:rsidR="009D30BC" w:rsidRDefault="009D30BC" w:rsidP="009D30BC">
      <w:pPr>
        <w:pStyle w:val="StepHead"/>
      </w:pPr>
      <w:r>
        <w:t>Verify IPv6 default route is propagating.</w:t>
      </w:r>
    </w:p>
    <w:p w:rsidR="009D30BC" w:rsidRDefault="009D30BC" w:rsidP="009D30BC">
      <w:pPr>
        <w:pStyle w:val="BodyTextL25"/>
      </w:pPr>
      <w:r>
        <w:t xml:space="preserve">Display the routing tables for </w:t>
      </w:r>
      <w:r w:rsidRPr="009D30BC">
        <w:rPr>
          <w:b/>
        </w:rPr>
        <w:t>Branch-</w:t>
      </w:r>
      <w:r>
        <w:rPr>
          <w:b/>
        </w:rPr>
        <w:t>3</w:t>
      </w:r>
      <w:r>
        <w:t xml:space="preserve"> and </w:t>
      </w:r>
      <w:r w:rsidRPr="009D30BC">
        <w:rPr>
          <w:b/>
        </w:rPr>
        <w:t>Branch-</w:t>
      </w:r>
      <w:r>
        <w:rPr>
          <w:b/>
        </w:rPr>
        <w:t>4</w:t>
      </w:r>
      <w:r>
        <w:t xml:space="preserve"> to verify the default route is now installed.</w:t>
      </w:r>
    </w:p>
    <w:p w:rsidR="00334840" w:rsidRPr="003136E1" w:rsidRDefault="00334840" w:rsidP="003136E1">
      <w:pPr>
        <w:pStyle w:val="PartHead"/>
      </w:pPr>
      <w:r w:rsidRPr="003136E1">
        <w:t>Verify Connectivity</w:t>
      </w:r>
      <w:r w:rsidR="009D30BC">
        <w:t xml:space="preserve"> to Outside Hosts</w:t>
      </w:r>
    </w:p>
    <w:p w:rsidR="00334840" w:rsidRPr="003136E1" w:rsidRDefault="009D30BC" w:rsidP="009D30BC">
      <w:pPr>
        <w:pStyle w:val="Bulletlevel1"/>
      </w:pPr>
      <w:r w:rsidRPr="009D30BC">
        <w:rPr>
          <w:b/>
        </w:rPr>
        <w:t>PC1</w:t>
      </w:r>
      <w:r>
        <w:t xml:space="preserve"> and </w:t>
      </w:r>
      <w:r w:rsidRPr="009D30BC">
        <w:rPr>
          <w:b/>
        </w:rPr>
        <w:t>PC2</w:t>
      </w:r>
      <w:r>
        <w:t xml:space="preserve"> should now be able to ping </w:t>
      </w:r>
      <w:r w:rsidRPr="009D30BC">
        <w:rPr>
          <w:b/>
        </w:rPr>
        <w:t>IPv4 Outside Host</w:t>
      </w:r>
      <w:r>
        <w:t>.</w:t>
      </w:r>
    </w:p>
    <w:p w:rsidR="00334840" w:rsidRDefault="009D30BC" w:rsidP="007026FE">
      <w:pPr>
        <w:pStyle w:val="Bulletlevel1"/>
      </w:pPr>
      <w:r w:rsidRPr="009D30BC">
        <w:rPr>
          <w:b/>
        </w:rPr>
        <w:t>PC</w:t>
      </w:r>
      <w:r>
        <w:rPr>
          <w:b/>
        </w:rPr>
        <w:t>3</w:t>
      </w:r>
      <w:r>
        <w:t xml:space="preserve"> and </w:t>
      </w:r>
      <w:r w:rsidRPr="009D30BC">
        <w:rPr>
          <w:b/>
        </w:rPr>
        <w:t>PC</w:t>
      </w:r>
      <w:r>
        <w:rPr>
          <w:b/>
        </w:rPr>
        <w:t>4</w:t>
      </w:r>
      <w:r>
        <w:t xml:space="preserve"> should now be able to ping </w:t>
      </w:r>
      <w:r>
        <w:rPr>
          <w:b/>
        </w:rPr>
        <w:t>IPv6</w:t>
      </w:r>
      <w:r w:rsidRPr="009D30BC">
        <w:rPr>
          <w:b/>
        </w:rPr>
        <w:t xml:space="preserve"> Outside Host</w:t>
      </w:r>
      <w:r>
        <w:t>.</w:t>
      </w:r>
      <w:bookmarkStart w:id="0" w:name="_GoBack"/>
      <w:bookmarkEnd w:id="0"/>
    </w:p>
    <w:sectPr w:rsidR="00334840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E76" w:rsidRDefault="00206E76" w:rsidP="0090659A">
      <w:pPr>
        <w:spacing w:after="0" w:line="240" w:lineRule="auto"/>
      </w:pPr>
      <w:r>
        <w:separator/>
      </w:r>
    </w:p>
    <w:p w:rsidR="00206E76" w:rsidRDefault="00206E76"/>
    <w:p w:rsidR="00206E76" w:rsidRDefault="00206E76"/>
    <w:p w:rsidR="00206E76" w:rsidRDefault="00206E76"/>
    <w:p w:rsidR="00206E76" w:rsidRDefault="00206E76"/>
  </w:endnote>
  <w:endnote w:type="continuationSeparator" w:id="0">
    <w:p w:rsidR="00206E76" w:rsidRDefault="00206E76" w:rsidP="0090659A">
      <w:pPr>
        <w:spacing w:after="0" w:line="240" w:lineRule="auto"/>
      </w:pPr>
      <w:r>
        <w:continuationSeparator/>
      </w:r>
    </w:p>
    <w:p w:rsidR="00206E76" w:rsidRDefault="00206E76"/>
    <w:p w:rsidR="00206E76" w:rsidRDefault="00206E76"/>
    <w:p w:rsidR="00206E76" w:rsidRDefault="00206E76"/>
    <w:p w:rsidR="00206E76" w:rsidRDefault="00206E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01D2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01D25" w:rsidRPr="0090659A">
      <w:rPr>
        <w:b/>
        <w:szCs w:val="16"/>
      </w:rPr>
      <w:fldChar w:fldCharType="separate"/>
    </w:r>
    <w:r w:rsidR="006D03CF">
      <w:rPr>
        <w:b/>
        <w:noProof/>
        <w:szCs w:val="16"/>
      </w:rPr>
      <w:t>2</w:t>
    </w:r>
    <w:r w:rsidR="00B01D2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01D2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01D25" w:rsidRPr="0090659A">
      <w:rPr>
        <w:b/>
        <w:szCs w:val="16"/>
      </w:rPr>
      <w:fldChar w:fldCharType="separate"/>
    </w:r>
    <w:r w:rsidR="006D03CF">
      <w:rPr>
        <w:b/>
        <w:noProof/>
        <w:szCs w:val="16"/>
      </w:rPr>
      <w:t>2</w:t>
    </w:r>
    <w:r w:rsidR="00B01D2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01D2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01D25" w:rsidRPr="0090659A">
      <w:rPr>
        <w:b/>
        <w:szCs w:val="16"/>
      </w:rPr>
      <w:fldChar w:fldCharType="separate"/>
    </w:r>
    <w:r w:rsidR="006D03CF">
      <w:rPr>
        <w:b/>
        <w:noProof/>
        <w:szCs w:val="16"/>
      </w:rPr>
      <w:t>1</w:t>
    </w:r>
    <w:r w:rsidR="00B01D2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01D2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01D25" w:rsidRPr="0090659A">
      <w:rPr>
        <w:b/>
        <w:szCs w:val="16"/>
      </w:rPr>
      <w:fldChar w:fldCharType="separate"/>
    </w:r>
    <w:r w:rsidR="006D03CF">
      <w:rPr>
        <w:b/>
        <w:noProof/>
        <w:szCs w:val="16"/>
      </w:rPr>
      <w:t>2</w:t>
    </w:r>
    <w:r w:rsidR="00B01D2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E76" w:rsidRDefault="00206E76" w:rsidP="0090659A">
      <w:pPr>
        <w:spacing w:after="0" w:line="240" w:lineRule="auto"/>
      </w:pPr>
      <w:r>
        <w:separator/>
      </w:r>
    </w:p>
    <w:p w:rsidR="00206E76" w:rsidRDefault="00206E76"/>
    <w:p w:rsidR="00206E76" w:rsidRDefault="00206E76"/>
    <w:p w:rsidR="00206E76" w:rsidRDefault="00206E76"/>
    <w:p w:rsidR="00206E76" w:rsidRDefault="00206E76"/>
  </w:footnote>
  <w:footnote w:type="continuationSeparator" w:id="0">
    <w:p w:rsidR="00206E76" w:rsidRDefault="00206E76" w:rsidP="0090659A">
      <w:pPr>
        <w:spacing w:after="0" w:line="240" w:lineRule="auto"/>
      </w:pPr>
      <w:r>
        <w:continuationSeparator/>
      </w:r>
    </w:p>
    <w:p w:rsidR="00206E76" w:rsidRDefault="00206E76"/>
    <w:p w:rsidR="00206E76" w:rsidRDefault="00206E76"/>
    <w:p w:rsidR="00206E76" w:rsidRDefault="00206E76"/>
    <w:p w:rsidR="00206E76" w:rsidRDefault="00206E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40E" w:rsidRDefault="00EF4623" w:rsidP="00C52BA6">
    <w:pPr>
      <w:pStyle w:val="PageHead"/>
    </w:pPr>
    <w:r>
      <w:t>Packet Tracer –</w:t>
    </w:r>
    <w:r w:rsidRPr="00FD4A68">
      <w:t xml:space="preserve"> </w:t>
    </w:r>
    <w:r w:rsidR="00C80D11">
      <w:t>Propagating a Default Route in EIGRP for IPv4 and IPv6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4DED806" wp14:editId="64123DC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SubStepAlpha"/>
        <w:lvlText w:val=""/>
        <w:lvlJc w:val="left"/>
      </w:lvl>
    </w:lvlOverride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74D8"/>
    <w:rsid w:val="0004788F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0C98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37F83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41C5"/>
    <w:rsid w:val="0019464A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D62E8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6E76"/>
    <w:rsid w:val="002113B8"/>
    <w:rsid w:val="00215665"/>
    <w:rsid w:val="0021792C"/>
    <w:rsid w:val="002240AB"/>
    <w:rsid w:val="00225E37"/>
    <w:rsid w:val="002262DC"/>
    <w:rsid w:val="00242E3A"/>
    <w:rsid w:val="002506CF"/>
    <w:rsid w:val="0025107F"/>
    <w:rsid w:val="00260CD4"/>
    <w:rsid w:val="002639D8"/>
    <w:rsid w:val="002651D4"/>
    <w:rsid w:val="00265F77"/>
    <w:rsid w:val="00266C83"/>
    <w:rsid w:val="002768DC"/>
    <w:rsid w:val="00297405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6E1"/>
    <w:rsid w:val="0031371D"/>
    <w:rsid w:val="0031789F"/>
    <w:rsid w:val="00320788"/>
    <w:rsid w:val="003233A3"/>
    <w:rsid w:val="00334840"/>
    <w:rsid w:val="0034455D"/>
    <w:rsid w:val="0034604B"/>
    <w:rsid w:val="003465A5"/>
    <w:rsid w:val="00346D17"/>
    <w:rsid w:val="00347972"/>
    <w:rsid w:val="003559CC"/>
    <w:rsid w:val="003569D7"/>
    <w:rsid w:val="003608AC"/>
    <w:rsid w:val="00362637"/>
    <w:rsid w:val="0036465A"/>
    <w:rsid w:val="00392C65"/>
    <w:rsid w:val="00392ED5"/>
    <w:rsid w:val="003A19DC"/>
    <w:rsid w:val="003A1B45"/>
    <w:rsid w:val="003B46FC"/>
    <w:rsid w:val="003B5767"/>
    <w:rsid w:val="003B7605"/>
    <w:rsid w:val="003C2226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340E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9A0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04C20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D53AD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36C4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3CF"/>
    <w:rsid w:val="006D1370"/>
    <w:rsid w:val="006D2C28"/>
    <w:rsid w:val="006D3FC1"/>
    <w:rsid w:val="006E6581"/>
    <w:rsid w:val="006E71DF"/>
    <w:rsid w:val="006F1CC4"/>
    <w:rsid w:val="006F2A86"/>
    <w:rsid w:val="006F3163"/>
    <w:rsid w:val="007026FE"/>
    <w:rsid w:val="00705B5D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DF8"/>
    <w:rsid w:val="00796C25"/>
    <w:rsid w:val="007A287C"/>
    <w:rsid w:val="007A3B2A"/>
    <w:rsid w:val="007A540E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94A"/>
    <w:rsid w:val="00810E4B"/>
    <w:rsid w:val="00814BAA"/>
    <w:rsid w:val="008169C9"/>
    <w:rsid w:val="00824295"/>
    <w:rsid w:val="008313F3"/>
    <w:rsid w:val="008405BB"/>
    <w:rsid w:val="00846494"/>
    <w:rsid w:val="00847B20"/>
    <w:rsid w:val="008509D3"/>
    <w:rsid w:val="00853418"/>
    <w:rsid w:val="00857CF6"/>
    <w:rsid w:val="0086047C"/>
    <w:rsid w:val="008610ED"/>
    <w:rsid w:val="00861C6A"/>
    <w:rsid w:val="00865199"/>
    <w:rsid w:val="00867EAF"/>
    <w:rsid w:val="0087012B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B7B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508A9"/>
    <w:rsid w:val="00963E34"/>
    <w:rsid w:val="00964DFA"/>
    <w:rsid w:val="0098155C"/>
    <w:rsid w:val="00983B77"/>
    <w:rsid w:val="00996053"/>
    <w:rsid w:val="00997FE4"/>
    <w:rsid w:val="009A0B2F"/>
    <w:rsid w:val="009A1CF4"/>
    <w:rsid w:val="009A37D7"/>
    <w:rsid w:val="009A4E17"/>
    <w:rsid w:val="009A5904"/>
    <w:rsid w:val="009A6955"/>
    <w:rsid w:val="009B0542"/>
    <w:rsid w:val="009B23D2"/>
    <w:rsid w:val="009B341C"/>
    <w:rsid w:val="009B5747"/>
    <w:rsid w:val="009D2C27"/>
    <w:rsid w:val="009D30BC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7795A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00B1"/>
    <w:rsid w:val="00AD064E"/>
    <w:rsid w:val="00AD4578"/>
    <w:rsid w:val="00AD61D5"/>
    <w:rsid w:val="00AD68E9"/>
    <w:rsid w:val="00AE56C0"/>
    <w:rsid w:val="00B00914"/>
    <w:rsid w:val="00B01D25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10EA"/>
    <w:rsid w:val="00B7675A"/>
    <w:rsid w:val="00B81898"/>
    <w:rsid w:val="00B8606B"/>
    <w:rsid w:val="00B878E7"/>
    <w:rsid w:val="00B97278"/>
    <w:rsid w:val="00BA15D0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6DA"/>
    <w:rsid w:val="00C02A73"/>
    <w:rsid w:val="00C063D2"/>
    <w:rsid w:val="00C07FD9"/>
    <w:rsid w:val="00C10955"/>
    <w:rsid w:val="00C11C4D"/>
    <w:rsid w:val="00C1712C"/>
    <w:rsid w:val="00C17C5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66F2"/>
    <w:rsid w:val="00C670EE"/>
    <w:rsid w:val="00C67E3B"/>
    <w:rsid w:val="00C80D11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179E"/>
    <w:rsid w:val="00D139C8"/>
    <w:rsid w:val="00D17F81"/>
    <w:rsid w:val="00D2758C"/>
    <w:rsid w:val="00D275CA"/>
    <w:rsid w:val="00D2789B"/>
    <w:rsid w:val="00D345AB"/>
    <w:rsid w:val="00D36018"/>
    <w:rsid w:val="00D37B70"/>
    <w:rsid w:val="00D41566"/>
    <w:rsid w:val="00D458EC"/>
    <w:rsid w:val="00D47D40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1AD6"/>
    <w:rsid w:val="00D93063"/>
    <w:rsid w:val="00D933B0"/>
    <w:rsid w:val="00D977E8"/>
    <w:rsid w:val="00DA24F5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32FEA"/>
    <w:rsid w:val="00E449D0"/>
    <w:rsid w:val="00E4506A"/>
    <w:rsid w:val="00E53F99"/>
    <w:rsid w:val="00E56510"/>
    <w:rsid w:val="00E62EA8"/>
    <w:rsid w:val="00E67A6E"/>
    <w:rsid w:val="00E71B43"/>
    <w:rsid w:val="00E81612"/>
    <w:rsid w:val="00E826C9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1762"/>
    <w:rsid w:val="00F2229D"/>
    <w:rsid w:val="00F25ABB"/>
    <w:rsid w:val="00F27963"/>
    <w:rsid w:val="00F27CBF"/>
    <w:rsid w:val="00F30446"/>
    <w:rsid w:val="00F4135D"/>
    <w:rsid w:val="00F41F1B"/>
    <w:rsid w:val="00F450DB"/>
    <w:rsid w:val="00F46BD9"/>
    <w:rsid w:val="00F60BE0"/>
    <w:rsid w:val="00F62383"/>
    <w:rsid w:val="00F6280E"/>
    <w:rsid w:val="00F66509"/>
    <w:rsid w:val="00F7050A"/>
    <w:rsid w:val="00F75533"/>
    <w:rsid w:val="00F9088A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80D1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C80D1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C80D1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80D11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C80D11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C80D11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C80D11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C80D11"/>
    <w:rPr>
      <w:b/>
      <w:sz w:val="32"/>
    </w:rPr>
  </w:style>
  <w:style w:type="paragraph" w:customStyle="1" w:styleId="PageHead">
    <w:name w:val="Page Head"/>
    <w:basedOn w:val="Normal"/>
    <w:qFormat/>
    <w:rsid w:val="00C80D11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C80D11"/>
    <w:pPr>
      <w:keepNext/>
      <w:numPr>
        <w:ilvl w:val="1"/>
        <w:numId w:val="6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C8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D11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C80D11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C80D1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D1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0D11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C80D11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C80D11"/>
  </w:style>
  <w:style w:type="table" w:styleId="TableGrid">
    <w:name w:val="Table Grid"/>
    <w:basedOn w:val="TableNormal"/>
    <w:uiPriority w:val="59"/>
    <w:rsid w:val="00C80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C80D11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C80D11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C80D11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C80D11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C80D11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C80D11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C80D11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C80D11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C80D11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C80D11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C80D1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80D11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80D1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80D11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C80D11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C80D11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C80D11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80D11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C80D1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C80D11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80D11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C80D11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C80D11"/>
    <w:pPr>
      <w:numPr>
        <w:numId w:val="6"/>
      </w:numPr>
    </w:pPr>
  </w:style>
  <w:style w:type="paragraph" w:customStyle="1" w:styleId="CMDOutput">
    <w:name w:val="CMD Output"/>
    <w:basedOn w:val="CMD"/>
    <w:qFormat/>
    <w:rsid w:val="00C80D11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C80D11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C80D11"/>
    <w:pPr>
      <w:ind w:left="720"/>
    </w:pPr>
  </w:style>
  <w:style w:type="paragraph" w:customStyle="1" w:styleId="BodyTextL25Bold">
    <w:name w:val="Body Text L25 Bold"/>
    <w:basedOn w:val="BodyTextL25"/>
    <w:qFormat/>
    <w:rsid w:val="00C80D11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D11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C80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D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D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D1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80D11"/>
    <w:rPr>
      <w:b/>
      <w:bCs/>
    </w:rPr>
  </w:style>
  <w:style w:type="paragraph" w:customStyle="1" w:styleId="ReflectionQ">
    <w:name w:val="Reflection Q"/>
    <w:basedOn w:val="BodyTextL25"/>
    <w:qFormat/>
    <w:rsid w:val="00C80D11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C80D11"/>
    <w:pPr>
      <w:numPr>
        <w:numId w:val="4"/>
      </w:numPr>
    </w:pPr>
  </w:style>
  <w:style w:type="character" w:customStyle="1" w:styleId="content">
    <w:name w:val="content"/>
    <w:basedOn w:val="DefaultParagraphFont"/>
    <w:rsid w:val="0004788F"/>
  </w:style>
  <w:style w:type="paragraph" w:customStyle="1" w:styleId="BodyText2">
    <w:name w:val="Body Text2"/>
    <w:basedOn w:val="Normal"/>
    <w:qFormat/>
    <w:rsid w:val="009D30BC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C80D11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80D1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C80D1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C80D1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80D11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C80D11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C80D11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C80D11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C80D11"/>
    <w:rPr>
      <w:b/>
      <w:sz w:val="32"/>
    </w:rPr>
  </w:style>
  <w:style w:type="paragraph" w:customStyle="1" w:styleId="PageHead">
    <w:name w:val="Page Head"/>
    <w:basedOn w:val="Normal"/>
    <w:qFormat/>
    <w:rsid w:val="00C80D11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C80D11"/>
    <w:pPr>
      <w:keepNext/>
      <w:numPr>
        <w:ilvl w:val="1"/>
        <w:numId w:val="6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C80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D11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C80D11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C80D1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D1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0D11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C80D11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C80D11"/>
  </w:style>
  <w:style w:type="table" w:styleId="TableGrid">
    <w:name w:val="Table Grid"/>
    <w:basedOn w:val="TableNormal"/>
    <w:uiPriority w:val="59"/>
    <w:rsid w:val="00C80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C80D11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C80D11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C80D11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C80D11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C80D11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C80D11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C80D11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C80D11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C80D11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C80D11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C80D1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80D11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80D1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80D11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C80D11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C80D11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C80D11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80D11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C80D1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C80D11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80D11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C80D11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C80D11"/>
    <w:pPr>
      <w:numPr>
        <w:numId w:val="6"/>
      </w:numPr>
    </w:pPr>
  </w:style>
  <w:style w:type="paragraph" w:customStyle="1" w:styleId="CMDOutput">
    <w:name w:val="CMD Output"/>
    <w:basedOn w:val="CMD"/>
    <w:qFormat/>
    <w:rsid w:val="00C80D11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C80D11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C80D11"/>
    <w:pPr>
      <w:ind w:left="720"/>
    </w:pPr>
  </w:style>
  <w:style w:type="paragraph" w:customStyle="1" w:styleId="BodyTextL25Bold">
    <w:name w:val="Body Text L25 Bold"/>
    <w:basedOn w:val="BodyTextL25"/>
    <w:qFormat/>
    <w:rsid w:val="00C80D11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D11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C80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D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D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D1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80D11"/>
    <w:rPr>
      <w:b/>
      <w:bCs/>
    </w:rPr>
  </w:style>
  <w:style w:type="paragraph" w:customStyle="1" w:styleId="ReflectionQ">
    <w:name w:val="Reflection Q"/>
    <w:basedOn w:val="BodyTextL25"/>
    <w:qFormat/>
    <w:rsid w:val="00C80D11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C80D11"/>
    <w:pPr>
      <w:numPr>
        <w:numId w:val="4"/>
      </w:numPr>
    </w:pPr>
  </w:style>
  <w:style w:type="character" w:customStyle="1" w:styleId="content">
    <w:name w:val="content"/>
    <w:basedOn w:val="DefaultParagraphFont"/>
    <w:rsid w:val="0004788F"/>
  </w:style>
  <w:style w:type="paragraph" w:customStyle="1" w:styleId="BodyText2">
    <w:name w:val="Body Text2"/>
    <w:basedOn w:val="Normal"/>
    <w:qFormat/>
    <w:rsid w:val="009D30BC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C80D11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D5976-B08A-4A28-B9D3-0B408F6AF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2</cp:revision>
  <dcterms:created xsi:type="dcterms:W3CDTF">2013-10-28T21:27:00Z</dcterms:created>
  <dcterms:modified xsi:type="dcterms:W3CDTF">2013-10-28T21:27:00Z</dcterms:modified>
</cp:coreProperties>
</file>