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Default="00EF4623" w:rsidP="00916977">
      <w:pPr>
        <w:pStyle w:val="LabTitle"/>
      </w:pPr>
      <w:r>
        <w:t>Packet Tracer –</w:t>
      </w:r>
      <w:r w:rsidR="002D6C2A" w:rsidRPr="00FD4A68">
        <w:t xml:space="preserve"> </w:t>
      </w:r>
      <w:r w:rsidR="00723D2A">
        <w:t>Skills Integration Challenge</w:t>
      </w:r>
      <w:r w:rsidR="00A70F12">
        <w:t xml:space="preserve"> - </w:t>
      </w:r>
      <w:r w:rsidR="00FB353D">
        <w:t>OSPF</w:t>
      </w:r>
    </w:p>
    <w:p w:rsidR="0093666A" w:rsidRPr="00916977" w:rsidRDefault="0093666A" w:rsidP="00916977">
      <w:pPr>
        <w:pStyle w:val="BodyText2"/>
      </w:pPr>
      <w:r w:rsidRPr="00581716">
        <w:rPr>
          <w:b/>
        </w:rPr>
        <w:t>Note</w:t>
      </w:r>
      <w:r w:rsidRPr="000C1EC4">
        <w:t xml:space="preserve">: </w:t>
      </w:r>
      <w:r>
        <w:t xml:space="preserve">This activity and the similar </w:t>
      </w:r>
      <w:r w:rsidRPr="00581716">
        <w:rPr>
          <w:b/>
        </w:rPr>
        <w:t>Packet Tracer - Skills Integration Challenge</w:t>
      </w:r>
      <w:r w:rsidR="003E6E1B">
        <w:rPr>
          <w:b/>
        </w:rPr>
        <w:t xml:space="preserve"> -</w:t>
      </w:r>
      <w:r w:rsidRPr="00581716">
        <w:rPr>
          <w:b/>
        </w:rPr>
        <w:t xml:space="preserve"> </w:t>
      </w:r>
      <w:r>
        <w:rPr>
          <w:b/>
        </w:rPr>
        <w:t>EIGRP</w:t>
      </w:r>
      <w:r>
        <w:t xml:space="preserve"> activity are meant as resources for you to determine what skills you may not have yet mastered from the previous courses. Refer to your notes and previous content if you need assistance. But it may be fun initially to see just how much you retained.</w:t>
      </w:r>
    </w:p>
    <w:p w:rsidR="003C6BCA" w:rsidRDefault="001E38E0" w:rsidP="0014219C">
      <w:pPr>
        <w:pStyle w:val="LabSection"/>
      </w:pPr>
      <w:r>
        <w:t>Topology</w:t>
      </w:r>
    </w:p>
    <w:p w:rsidR="008C4307" w:rsidRDefault="00462978" w:rsidP="008C4307">
      <w:pPr>
        <w:pStyle w:val="Visual"/>
      </w:pPr>
      <w:r>
        <w:rPr>
          <w:noProof/>
        </w:rPr>
        <w:drawing>
          <wp:inline distT="0" distB="0" distL="0" distR="0">
            <wp:extent cx="6400800" cy="3444240"/>
            <wp:effectExtent l="19050" t="0" r="0" b="0"/>
            <wp:docPr id="3" name="Picture 2" descr="WT 4-1 PT-SIC 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4-1 PT-SIC OSPF.png"/>
                    <pic:cNvPicPr/>
                  </pic:nvPicPr>
                  <pic:blipFill>
                    <a:blip r:embed="rId10" cstate="print"/>
                    <a:stretch>
                      <a:fillRect/>
                    </a:stretch>
                  </pic:blipFill>
                  <pic:spPr>
                    <a:xfrm>
                      <a:off x="0" y="0"/>
                      <a:ext cx="6400800" cy="3444240"/>
                    </a:xfrm>
                    <a:prstGeom prst="rect">
                      <a:avLst/>
                    </a:prstGeom>
                  </pic:spPr>
                </pic:pic>
              </a:graphicData>
            </a:graphic>
          </wp:inline>
        </w:drawing>
      </w:r>
    </w:p>
    <w:p w:rsidR="006B410E" w:rsidRPr="000B0C00" w:rsidRDefault="00AE56C0" w:rsidP="006B410E">
      <w:pPr>
        <w:pStyle w:val="LabSection"/>
      </w:pPr>
      <w:r w:rsidRPr="00BB73FF">
        <w:lastRenderedPageBreak/>
        <w:t>Addressing Table</w:t>
      </w:r>
    </w:p>
    <w:tbl>
      <w:tblPr>
        <w:tblW w:w="8758" w:type="dxa"/>
        <w:jc w:val="center"/>
        <w:tblInd w:w="-2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50"/>
        <w:gridCol w:w="1222"/>
        <w:gridCol w:w="2199"/>
        <w:gridCol w:w="1947"/>
        <w:gridCol w:w="2040"/>
      </w:tblGrid>
      <w:tr w:rsidR="009821D8" w:rsidRPr="0093666A" w:rsidTr="0062051D">
        <w:trPr>
          <w:cantSplit/>
          <w:trHeight w:val="255"/>
          <w:jc w:val="center"/>
        </w:trPr>
        <w:tc>
          <w:tcPr>
            <w:tcW w:w="1350" w:type="dxa"/>
            <w:vMerge w:val="restart"/>
            <w:tcBorders>
              <w:top w:val="single" w:sz="2" w:space="0" w:color="auto"/>
              <w:left w:val="single" w:sz="2" w:space="0" w:color="auto"/>
              <w:right w:val="single" w:sz="2" w:space="0" w:color="auto"/>
              <w:tl2br w:val="nil"/>
              <w:tr2bl w:val="nil"/>
            </w:tcBorders>
            <w:shd w:val="clear" w:color="auto" w:fill="DBE5F1"/>
            <w:vAlign w:val="center"/>
          </w:tcPr>
          <w:p w:rsidR="006B410E" w:rsidRPr="0093666A" w:rsidRDefault="006B410E" w:rsidP="0093666A">
            <w:pPr>
              <w:pStyle w:val="TableHeading"/>
            </w:pPr>
            <w:r w:rsidRPr="0093666A">
              <w:t>Device</w:t>
            </w:r>
          </w:p>
        </w:tc>
        <w:tc>
          <w:tcPr>
            <w:tcW w:w="1222" w:type="dxa"/>
            <w:vMerge w:val="restart"/>
            <w:tcBorders>
              <w:top w:val="single" w:sz="2" w:space="0" w:color="auto"/>
              <w:left w:val="single" w:sz="2" w:space="0" w:color="auto"/>
              <w:right w:val="single" w:sz="2" w:space="0" w:color="auto"/>
              <w:tl2br w:val="nil"/>
              <w:tr2bl w:val="nil"/>
            </w:tcBorders>
            <w:shd w:val="clear" w:color="auto" w:fill="DBE5F1"/>
            <w:vAlign w:val="center"/>
          </w:tcPr>
          <w:p w:rsidR="006B410E" w:rsidRPr="0093666A" w:rsidRDefault="006B410E" w:rsidP="0093666A">
            <w:pPr>
              <w:pStyle w:val="TableHeading"/>
            </w:pPr>
            <w:r w:rsidRPr="0093666A">
              <w:t>Interface</w:t>
            </w:r>
          </w:p>
        </w:tc>
        <w:tc>
          <w:tcPr>
            <w:tcW w:w="21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6B410E" w:rsidRPr="0093666A" w:rsidRDefault="006B410E" w:rsidP="0093666A">
            <w:pPr>
              <w:pStyle w:val="TableHeading"/>
            </w:pPr>
            <w:r w:rsidRPr="0093666A">
              <w:t>IPv4 Address</w:t>
            </w:r>
          </w:p>
        </w:tc>
        <w:tc>
          <w:tcPr>
            <w:tcW w:w="19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6B410E" w:rsidRPr="0093666A" w:rsidRDefault="006B410E" w:rsidP="0093666A">
            <w:pPr>
              <w:pStyle w:val="TableHeading"/>
            </w:pPr>
            <w:r w:rsidRPr="0093666A">
              <w:t>Subnet Mask</w:t>
            </w:r>
          </w:p>
        </w:tc>
        <w:tc>
          <w:tcPr>
            <w:tcW w:w="2040" w:type="dxa"/>
            <w:vMerge w:val="restart"/>
            <w:tcBorders>
              <w:top w:val="single" w:sz="2" w:space="0" w:color="auto"/>
              <w:left w:val="single" w:sz="2" w:space="0" w:color="auto"/>
              <w:right w:val="single" w:sz="2" w:space="0" w:color="auto"/>
              <w:tl2br w:val="nil"/>
              <w:tr2bl w:val="nil"/>
            </w:tcBorders>
            <w:shd w:val="clear" w:color="auto" w:fill="DBE5F1"/>
            <w:vAlign w:val="center"/>
          </w:tcPr>
          <w:p w:rsidR="006B410E" w:rsidRPr="0093666A" w:rsidRDefault="006B410E" w:rsidP="0093666A">
            <w:pPr>
              <w:pStyle w:val="TableHeading"/>
            </w:pPr>
            <w:r w:rsidRPr="0093666A">
              <w:t>Default Gateway</w:t>
            </w:r>
          </w:p>
        </w:tc>
      </w:tr>
      <w:tr w:rsidR="009821D8" w:rsidRPr="0093666A" w:rsidTr="0062051D">
        <w:trPr>
          <w:cantSplit/>
          <w:trHeight w:val="255"/>
          <w:jc w:val="center"/>
        </w:trPr>
        <w:tc>
          <w:tcPr>
            <w:tcW w:w="1350" w:type="dxa"/>
            <w:vMerge/>
            <w:tcBorders>
              <w:left w:val="single" w:sz="2" w:space="0" w:color="auto"/>
              <w:bottom w:val="single" w:sz="2" w:space="0" w:color="auto"/>
              <w:right w:val="single" w:sz="2" w:space="0" w:color="auto"/>
              <w:tl2br w:val="nil"/>
              <w:tr2bl w:val="nil"/>
            </w:tcBorders>
            <w:shd w:val="clear" w:color="auto" w:fill="DBE5F1"/>
            <w:vAlign w:val="bottom"/>
          </w:tcPr>
          <w:p w:rsidR="006B410E" w:rsidRPr="0093666A" w:rsidRDefault="006B410E" w:rsidP="0093666A">
            <w:pPr>
              <w:pStyle w:val="TableHeading"/>
            </w:pPr>
          </w:p>
        </w:tc>
        <w:tc>
          <w:tcPr>
            <w:tcW w:w="1222" w:type="dxa"/>
            <w:vMerge/>
            <w:tcBorders>
              <w:left w:val="single" w:sz="2" w:space="0" w:color="auto"/>
              <w:bottom w:val="single" w:sz="2" w:space="0" w:color="auto"/>
              <w:right w:val="single" w:sz="2" w:space="0" w:color="auto"/>
              <w:tl2br w:val="nil"/>
              <w:tr2bl w:val="nil"/>
            </w:tcBorders>
            <w:shd w:val="clear" w:color="auto" w:fill="DBE5F1"/>
            <w:vAlign w:val="bottom"/>
          </w:tcPr>
          <w:p w:rsidR="006B410E" w:rsidRPr="0093666A" w:rsidRDefault="006B410E" w:rsidP="0093666A">
            <w:pPr>
              <w:pStyle w:val="TableHeading"/>
            </w:pPr>
          </w:p>
        </w:tc>
        <w:tc>
          <w:tcPr>
            <w:tcW w:w="414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410E" w:rsidRPr="0093666A" w:rsidRDefault="006B410E" w:rsidP="0093666A">
            <w:pPr>
              <w:pStyle w:val="TableHeading"/>
            </w:pPr>
            <w:r w:rsidRPr="0093666A">
              <w:t>IPv6 Address/Prefix</w:t>
            </w:r>
          </w:p>
        </w:tc>
        <w:tc>
          <w:tcPr>
            <w:tcW w:w="2040" w:type="dxa"/>
            <w:vMerge/>
            <w:tcBorders>
              <w:left w:val="single" w:sz="2" w:space="0" w:color="auto"/>
              <w:bottom w:val="single" w:sz="2" w:space="0" w:color="auto"/>
              <w:right w:val="single" w:sz="2" w:space="0" w:color="auto"/>
              <w:tl2br w:val="nil"/>
              <w:tr2bl w:val="nil"/>
            </w:tcBorders>
            <w:shd w:val="clear" w:color="auto" w:fill="DBE5F1"/>
            <w:vAlign w:val="bottom"/>
          </w:tcPr>
          <w:p w:rsidR="006B410E" w:rsidRPr="0093666A" w:rsidRDefault="006B410E" w:rsidP="0093666A">
            <w:pPr>
              <w:pStyle w:val="TableHeading"/>
            </w:pPr>
          </w:p>
        </w:tc>
      </w:tr>
      <w:tr w:rsidR="0093666A" w:rsidRPr="000B0C00" w:rsidTr="0062051D">
        <w:trPr>
          <w:cantSplit/>
          <w:jc w:val="center"/>
        </w:trPr>
        <w:tc>
          <w:tcPr>
            <w:tcW w:w="1350" w:type="dxa"/>
            <w:vMerge w:val="restart"/>
            <w:vAlign w:val="center"/>
          </w:tcPr>
          <w:p w:rsidR="0093666A" w:rsidRPr="0093666A" w:rsidRDefault="0093666A" w:rsidP="0093666A">
            <w:pPr>
              <w:pStyle w:val="TableText"/>
            </w:pPr>
            <w:r w:rsidRPr="0093666A">
              <w:t>R1</w:t>
            </w:r>
          </w:p>
        </w:tc>
        <w:tc>
          <w:tcPr>
            <w:tcW w:w="1222" w:type="dxa"/>
            <w:vMerge w:val="restart"/>
            <w:vAlign w:val="center"/>
          </w:tcPr>
          <w:p w:rsidR="0093666A" w:rsidRPr="0093666A" w:rsidRDefault="0093666A" w:rsidP="0093666A">
            <w:pPr>
              <w:pStyle w:val="TableText"/>
            </w:pPr>
            <w:r w:rsidRPr="0093666A">
              <w:t>G0/0</w:t>
            </w:r>
          </w:p>
        </w:tc>
        <w:tc>
          <w:tcPr>
            <w:tcW w:w="2199" w:type="dxa"/>
            <w:vAlign w:val="bottom"/>
          </w:tcPr>
          <w:p w:rsidR="0093666A" w:rsidRPr="0093666A" w:rsidRDefault="0093666A" w:rsidP="0093666A">
            <w:pPr>
              <w:pStyle w:val="TableText"/>
            </w:pPr>
            <w:r w:rsidRPr="0093666A">
              <w:t>10.10.10.1</w:t>
            </w:r>
          </w:p>
        </w:tc>
        <w:tc>
          <w:tcPr>
            <w:tcW w:w="1947" w:type="dxa"/>
            <w:vAlign w:val="bottom"/>
          </w:tcPr>
          <w:p w:rsidR="0093666A" w:rsidRPr="0093666A" w:rsidRDefault="0093666A" w:rsidP="0093666A">
            <w:pPr>
              <w:pStyle w:val="TableText"/>
            </w:pPr>
            <w:r w:rsidRPr="0093666A">
              <w:t>255.255.255.192</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ign w:val="center"/>
          </w:tcPr>
          <w:p w:rsidR="0093666A" w:rsidRPr="0093666A" w:rsidRDefault="0093666A" w:rsidP="0093666A">
            <w:pPr>
              <w:pStyle w:val="TableText"/>
            </w:pPr>
          </w:p>
        </w:tc>
        <w:tc>
          <w:tcPr>
            <w:tcW w:w="4146" w:type="dxa"/>
            <w:gridSpan w:val="2"/>
            <w:vAlign w:val="bottom"/>
          </w:tcPr>
          <w:p w:rsidR="0093666A" w:rsidRPr="0093666A" w:rsidRDefault="0093666A" w:rsidP="0093666A">
            <w:pPr>
              <w:pStyle w:val="TableText"/>
            </w:pPr>
            <w:r w:rsidRPr="0093666A">
              <w:t>2001:DB8:A:10::1/64</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restart"/>
            <w:vAlign w:val="center"/>
          </w:tcPr>
          <w:p w:rsidR="0093666A" w:rsidRPr="0093666A" w:rsidRDefault="0093666A" w:rsidP="0093666A">
            <w:pPr>
              <w:pStyle w:val="TableText"/>
            </w:pPr>
            <w:r w:rsidRPr="0093666A">
              <w:t>S0/0/0</w:t>
            </w:r>
          </w:p>
        </w:tc>
        <w:tc>
          <w:tcPr>
            <w:tcW w:w="2199" w:type="dxa"/>
            <w:vAlign w:val="bottom"/>
          </w:tcPr>
          <w:p w:rsidR="0093666A" w:rsidRPr="0093666A" w:rsidRDefault="0093666A" w:rsidP="0093666A">
            <w:pPr>
              <w:pStyle w:val="TableText"/>
            </w:pPr>
            <w:r w:rsidRPr="0093666A">
              <w:t>64.102.139.2</w:t>
            </w:r>
          </w:p>
        </w:tc>
        <w:tc>
          <w:tcPr>
            <w:tcW w:w="1947" w:type="dxa"/>
            <w:vAlign w:val="bottom"/>
          </w:tcPr>
          <w:p w:rsidR="0093666A" w:rsidRPr="0093666A" w:rsidRDefault="0093666A" w:rsidP="0093666A">
            <w:pPr>
              <w:pStyle w:val="TableText"/>
            </w:pPr>
            <w:r w:rsidRPr="0093666A">
              <w:t>255.255.255.0</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ign w:val="center"/>
          </w:tcPr>
          <w:p w:rsidR="0093666A" w:rsidRPr="0093666A" w:rsidRDefault="0093666A" w:rsidP="0093666A">
            <w:pPr>
              <w:pStyle w:val="TableText"/>
            </w:pPr>
          </w:p>
        </w:tc>
        <w:tc>
          <w:tcPr>
            <w:tcW w:w="4146" w:type="dxa"/>
            <w:gridSpan w:val="2"/>
            <w:vAlign w:val="bottom"/>
          </w:tcPr>
          <w:p w:rsidR="0093666A" w:rsidRPr="0093666A" w:rsidRDefault="0093666A" w:rsidP="0093666A">
            <w:pPr>
              <w:pStyle w:val="TableText"/>
            </w:pPr>
            <w:r w:rsidRPr="0093666A">
              <w:t>2001:DB8:A:64::2/64</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restart"/>
            <w:vAlign w:val="center"/>
          </w:tcPr>
          <w:p w:rsidR="0093666A" w:rsidRPr="0093666A" w:rsidRDefault="0093666A" w:rsidP="0093666A">
            <w:pPr>
              <w:pStyle w:val="TableText"/>
            </w:pPr>
            <w:r w:rsidRPr="0093666A">
              <w:t>S0/0/1</w:t>
            </w:r>
          </w:p>
        </w:tc>
        <w:tc>
          <w:tcPr>
            <w:tcW w:w="2199" w:type="dxa"/>
            <w:vAlign w:val="bottom"/>
          </w:tcPr>
          <w:p w:rsidR="0093666A" w:rsidRPr="0093666A" w:rsidRDefault="0093666A" w:rsidP="0093666A">
            <w:pPr>
              <w:pStyle w:val="TableText"/>
            </w:pPr>
            <w:r w:rsidRPr="0093666A">
              <w:t>10.10.1.1</w:t>
            </w:r>
          </w:p>
        </w:tc>
        <w:tc>
          <w:tcPr>
            <w:tcW w:w="1947" w:type="dxa"/>
            <w:vAlign w:val="bottom"/>
          </w:tcPr>
          <w:p w:rsidR="0093666A" w:rsidRPr="0093666A" w:rsidRDefault="0093666A" w:rsidP="0093666A">
            <w:pPr>
              <w:pStyle w:val="TableText"/>
            </w:pPr>
            <w:r w:rsidRPr="0093666A">
              <w:t>255.255.255.252</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ign w:val="center"/>
          </w:tcPr>
          <w:p w:rsidR="0093666A" w:rsidRPr="0093666A" w:rsidRDefault="0093666A" w:rsidP="0093666A">
            <w:pPr>
              <w:pStyle w:val="TableText"/>
            </w:pPr>
          </w:p>
        </w:tc>
        <w:tc>
          <w:tcPr>
            <w:tcW w:w="4146" w:type="dxa"/>
            <w:gridSpan w:val="2"/>
            <w:vAlign w:val="bottom"/>
          </w:tcPr>
          <w:p w:rsidR="0093666A" w:rsidRPr="0093666A" w:rsidRDefault="0093666A" w:rsidP="0093666A">
            <w:pPr>
              <w:pStyle w:val="TableText"/>
            </w:pPr>
            <w:r w:rsidRPr="0093666A">
              <w:t>2001:DB8:B:1::1/64</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restart"/>
            <w:vAlign w:val="center"/>
          </w:tcPr>
          <w:p w:rsidR="0093666A" w:rsidRPr="0093666A" w:rsidRDefault="0093666A" w:rsidP="0093666A">
            <w:pPr>
              <w:pStyle w:val="TableText"/>
            </w:pPr>
            <w:r w:rsidRPr="0093666A">
              <w:t>S0/1/0</w:t>
            </w:r>
          </w:p>
        </w:tc>
        <w:tc>
          <w:tcPr>
            <w:tcW w:w="2199" w:type="dxa"/>
            <w:vAlign w:val="bottom"/>
          </w:tcPr>
          <w:p w:rsidR="0093666A" w:rsidRPr="0093666A" w:rsidRDefault="0093666A" w:rsidP="0093666A">
            <w:pPr>
              <w:pStyle w:val="TableText"/>
            </w:pPr>
            <w:r w:rsidRPr="0093666A">
              <w:t>10.10.1.5</w:t>
            </w:r>
          </w:p>
        </w:tc>
        <w:tc>
          <w:tcPr>
            <w:tcW w:w="1947" w:type="dxa"/>
            <w:vAlign w:val="bottom"/>
          </w:tcPr>
          <w:p w:rsidR="0093666A" w:rsidRPr="0093666A" w:rsidRDefault="0093666A" w:rsidP="0093666A">
            <w:pPr>
              <w:pStyle w:val="TableText"/>
            </w:pPr>
            <w:r w:rsidRPr="0093666A">
              <w:t>255.255.255.252</w:t>
            </w:r>
          </w:p>
        </w:tc>
        <w:tc>
          <w:tcPr>
            <w:tcW w:w="2040" w:type="dxa"/>
            <w:vAlign w:val="bottom"/>
          </w:tcPr>
          <w:p w:rsidR="0093666A" w:rsidRPr="0093666A" w:rsidRDefault="0093666A" w:rsidP="0093666A">
            <w:pPr>
              <w:pStyle w:val="TableText"/>
            </w:pPr>
            <w:r w:rsidRPr="0093666A">
              <w:t>N/A</w:t>
            </w:r>
          </w:p>
        </w:tc>
      </w:tr>
      <w:tr w:rsidR="0093666A" w:rsidRPr="000B0C00" w:rsidTr="0062051D">
        <w:trPr>
          <w:cantSplit/>
          <w:jc w:val="center"/>
        </w:trPr>
        <w:tc>
          <w:tcPr>
            <w:tcW w:w="1350" w:type="dxa"/>
            <w:vMerge/>
            <w:vAlign w:val="center"/>
          </w:tcPr>
          <w:p w:rsidR="0093666A" w:rsidRPr="0093666A" w:rsidRDefault="0093666A" w:rsidP="0093666A">
            <w:pPr>
              <w:pStyle w:val="TableText"/>
            </w:pPr>
          </w:p>
        </w:tc>
        <w:tc>
          <w:tcPr>
            <w:tcW w:w="1222" w:type="dxa"/>
            <w:vMerge/>
            <w:vAlign w:val="center"/>
          </w:tcPr>
          <w:p w:rsidR="0093666A" w:rsidRPr="0093666A" w:rsidRDefault="0093666A" w:rsidP="0093666A">
            <w:pPr>
              <w:pStyle w:val="TableText"/>
            </w:pPr>
          </w:p>
        </w:tc>
        <w:tc>
          <w:tcPr>
            <w:tcW w:w="4146" w:type="dxa"/>
            <w:gridSpan w:val="2"/>
            <w:vAlign w:val="bottom"/>
          </w:tcPr>
          <w:p w:rsidR="0093666A" w:rsidRPr="0093666A" w:rsidRDefault="0093666A" w:rsidP="0093666A">
            <w:pPr>
              <w:pStyle w:val="TableText"/>
            </w:pPr>
            <w:r w:rsidRPr="0093666A">
              <w:t>2001:DB8:B:2::1/64</w:t>
            </w:r>
          </w:p>
        </w:tc>
        <w:tc>
          <w:tcPr>
            <w:tcW w:w="2040" w:type="dxa"/>
            <w:vAlign w:val="bottom"/>
          </w:tcPr>
          <w:p w:rsidR="0093666A" w:rsidRPr="0093666A" w:rsidRDefault="0093666A"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CB2E60">
            <w:pPr>
              <w:pStyle w:val="TableText"/>
            </w:pPr>
          </w:p>
        </w:tc>
        <w:tc>
          <w:tcPr>
            <w:tcW w:w="1222" w:type="dxa"/>
            <w:vAlign w:val="center"/>
          </w:tcPr>
          <w:p w:rsidR="0062051D" w:rsidRPr="0093666A" w:rsidRDefault="0062051D" w:rsidP="00CB2E60">
            <w:pPr>
              <w:pStyle w:val="TableText"/>
            </w:pPr>
            <w:r>
              <w:t>Link-Local</w:t>
            </w:r>
          </w:p>
        </w:tc>
        <w:tc>
          <w:tcPr>
            <w:tcW w:w="4146" w:type="dxa"/>
            <w:gridSpan w:val="2"/>
            <w:vAlign w:val="bottom"/>
          </w:tcPr>
          <w:p w:rsidR="0062051D" w:rsidRPr="0093666A" w:rsidRDefault="0062051D" w:rsidP="00CB2E60">
            <w:pPr>
              <w:pStyle w:val="TableText"/>
            </w:pPr>
            <w:r>
              <w:t>FE80::1</w:t>
            </w:r>
          </w:p>
        </w:tc>
        <w:tc>
          <w:tcPr>
            <w:tcW w:w="2040" w:type="dxa"/>
            <w:vAlign w:val="bottom"/>
          </w:tcPr>
          <w:p w:rsidR="0062051D" w:rsidRPr="0093666A" w:rsidRDefault="0062051D" w:rsidP="00CB2E60">
            <w:pPr>
              <w:pStyle w:val="TableText"/>
            </w:pPr>
            <w:r w:rsidRPr="0093666A">
              <w:t>N/A</w:t>
            </w:r>
          </w:p>
        </w:tc>
      </w:tr>
      <w:tr w:rsidR="0062051D" w:rsidRPr="000B0C00" w:rsidTr="0062051D">
        <w:trPr>
          <w:cantSplit/>
          <w:jc w:val="center"/>
        </w:trPr>
        <w:tc>
          <w:tcPr>
            <w:tcW w:w="1350" w:type="dxa"/>
            <w:vMerge w:val="restart"/>
            <w:vAlign w:val="center"/>
          </w:tcPr>
          <w:p w:rsidR="0062051D" w:rsidRPr="0093666A" w:rsidRDefault="0062051D" w:rsidP="0093666A">
            <w:pPr>
              <w:pStyle w:val="TableText"/>
            </w:pPr>
            <w:r w:rsidRPr="0093666A">
              <w:t>R2</w:t>
            </w:r>
          </w:p>
        </w:tc>
        <w:tc>
          <w:tcPr>
            <w:tcW w:w="1222" w:type="dxa"/>
            <w:vMerge w:val="restart"/>
            <w:vAlign w:val="center"/>
          </w:tcPr>
          <w:p w:rsidR="0062051D" w:rsidRPr="0093666A" w:rsidRDefault="0062051D" w:rsidP="0093666A">
            <w:pPr>
              <w:pStyle w:val="TableText"/>
            </w:pPr>
            <w:r w:rsidRPr="0093666A">
              <w:t>G0/0</w:t>
            </w:r>
          </w:p>
        </w:tc>
        <w:tc>
          <w:tcPr>
            <w:tcW w:w="2199" w:type="dxa"/>
            <w:vAlign w:val="bottom"/>
          </w:tcPr>
          <w:p w:rsidR="0062051D" w:rsidRPr="0093666A" w:rsidRDefault="0062051D" w:rsidP="0093666A">
            <w:pPr>
              <w:pStyle w:val="TableText"/>
            </w:pPr>
            <w:r w:rsidRPr="0093666A">
              <w:t>10.10.2.1</w:t>
            </w:r>
          </w:p>
        </w:tc>
        <w:tc>
          <w:tcPr>
            <w:tcW w:w="1947" w:type="dxa"/>
            <w:vAlign w:val="bottom"/>
          </w:tcPr>
          <w:p w:rsidR="0062051D" w:rsidRPr="0093666A" w:rsidRDefault="0062051D" w:rsidP="0093666A">
            <w:pPr>
              <w:pStyle w:val="TableText"/>
            </w:pPr>
            <w:r w:rsidRPr="0093666A">
              <w:t>255.255.255.0</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2001:DB8:A:2::1/64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restart"/>
            <w:vAlign w:val="center"/>
          </w:tcPr>
          <w:p w:rsidR="0062051D" w:rsidRPr="0093666A" w:rsidRDefault="0062051D" w:rsidP="0093666A">
            <w:pPr>
              <w:pStyle w:val="TableText"/>
            </w:pPr>
            <w:r w:rsidRPr="0093666A">
              <w:t>S0/0/0</w:t>
            </w:r>
          </w:p>
        </w:tc>
        <w:tc>
          <w:tcPr>
            <w:tcW w:w="2199" w:type="dxa"/>
            <w:vAlign w:val="bottom"/>
          </w:tcPr>
          <w:p w:rsidR="0062051D" w:rsidRPr="0093666A" w:rsidRDefault="0062051D" w:rsidP="0093666A">
            <w:pPr>
              <w:pStyle w:val="TableText"/>
            </w:pPr>
            <w:r w:rsidRPr="0093666A">
              <w:t>10.10.1.9</w:t>
            </w:r>
          </w:p>
        </w:tc>
        <w:tc>
          <w:tcPr>
            <w:tcW w:w="1947" w:type="dxa"/>
            <w:vAlign w:val="bottom"/>
          </w:tcPr>
          <w:p w:rsidR="0062051D" w:rsidRPr="0093666A" w:rsidRDefault="0062051D" w:rsidP="0093666A">
            <w:pPr>
              <w:pStyle w:val="TableText"/>
            </w:pPr>
            <w:r w:rsidRPr="0093666A">
              <w:t>255.255.255.252</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2001:DB8:B:3::1/64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restart"/>
            <w:vAlign w:val="center"/>
          </w:tcPr>
          <w:p w:rsidR="0062051D" w:rsidRPr="0093666A" w:rsidRDefault="0062051D" w:rsidP="0093666A">
            <w:pPr>
              <w:pStyle w:val="TableText"/>
            </w:pPr>
            <w:r w:rsidRPr="0093666A">
              <w:t>S0/0/1</w:t>
            </w:r>
          </w:p>
        </w:tc>
        <w:tc>
          <w:tcPr>
            <w:tcW w:w="2199" w:type="dxa"/>
            <w:vAlign w:val="bottom"/>
          </w:tcPr>
          <w:p w:rsidR="0062051D" w:rsidRPr="0093666A" w:rsidRDefault="0062051D" w:rsidP="0093666A">
            <w:pPr>
              <w:pStyle w:val="TableText"/>
            </w:pPr>
            <w:r w:rsidRPr="0093666A">
              <w:t>10.10.1.2</w:t>
            </w:r>
          </w:p>
        </w:tc>
        <w:tc>
          <w:tcPr>
            <w:tcW w:w="1947" w:type="dxa"/>
            <w:vAlign w:val="bottom"/>
          </w:tcPr>
          <w:p w:rsidR="0062051D" w:rsidRPr="0093666A" w:rsidRDefault="0062051D" w:rsidP="0093666A">
            <w:pPr>
              <w:pStyle w:val="TableText"/>
            </w:pPr>
            <w:r w:rsidRPr="0093666A">
              <w:t>255.255.255.252</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2001:DB8:B:1::2/64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Align w:val="center"/>
          </w:tcPr>
          <w:p w:rsidR="0062051D" w:rsidRPr="0093666A" w:rsidRDefault="0062051D" w:rsidP="0093666A">
            <w:pPr>
              <w:pStyle w:val="TableText"/>
            </w:pPr>
            <w:r>
              <w:t>Link-Local</w:t>
            </w:r>
          </w:p>
        </w:tc>
        <w:tc>
          <w:tcPr>
            <w:tcW w:w="4146" w:type="dxa"/>
            <w:gridSpan w:val="2"/>
            <w:vAlign w:val="bottom"/>
          </w:tcPr>
          <w:p w:rsidR="0062051D" w:rsidRPr="0093666A" w:rsidRDefault="0062051D" w:rsidP="0093666A">
            <w:pPr>
              <w:pStyle w:val="TableText"/>
            </w:pPr>
            <w:r>
              <w:t>FE80::2</w:t>
            </w:r>
          </w:p>
        </w:tc>
        <w:tc>
          <w:tcPr>
            <w:tcW w:w="2040" w:type="dxa"/>
            <w:vAlign w:val="bottom"/>
          </w:tcPr>
          <w:p w:rsidR="0062051D" w:rsidRPr="0093666A" w:rsidRDefault="0062051D" w:rsidP="00CB2E60">
            <w:pPr>
              <w:pStyle w:val="TableText"/>
            </w:pPr>
            <w:r w:rsidRPr="0093666A">
              <w:t>N/A</w:t>
            </w:r>
          </w:p>
        </w:tc>
      </w:tr>
      <w:tr w:rsidR="0062051D" w:rsidRPr="000B0C00" w:rsidTr="0062051D">
        <w:trPr>
          <w:cantSplit/>
          <w:jc w:val="center"/>
        </w:trPr>
        <w:tc>
          <w:tcPr>
            <w:tcW w:w="1350" w:type="dxa"/>
            <w:vMerge w:val="restart"/>
            <w:vAlign w:val="center"/>
          </w:tcPr>
          <w:p w:rsidR="0062051D" w:rsidRPr="0093666A" w:rsidRDefault="0062051D" w:rsidP="0093666A">
            <w:pPr>
              <w:pStyle w:val="TableText"/>
            </w:pPr>
            <w:r w:rsidRPr="0093666A">
              <w:t>R3</w:t>
            </w:r>
          </w:p>
        </w:tc>
        <w:tc>
          <w:tcPr>
            <w:tcW w:w="1222" w:type="dxa"/>
            <w:vMerge w:val="restart"/>
            <w:vAlign w:val="center"/>
          </w:tcPr>
          <w:p w:rsidR="0062051D" w:rsidRPr="0093666A" w:rsidRDefault="0062051D" w:rsidP="0093666A">
            <w:pPr>
              <w:pStyle w:val="TableText"/>
            </w:pPr>
            <w:r w:rsidRPr="0093666A">
              <w:t>G0/0</w:t>
            </w:r>
          </w:p>
        </w:tc>
        <w:tc>
          <w:tcPr>
            <w:tcW w:w="2199" w:type="dxa"/>
            <w:vAlign w:val="bottom"/>
          </w:tcPr>
          <w:p w:rsidR="0062051D" w:rsidRPr="0093666A" w:rsidRDefault="0062051D" w:rsidP="0093666A">
            <w:pPr>
              <w:pStyle w:val="TableText"/>
            </w:pPr>
            <w:r w:rsidRPr="0093666A">
              <w:t>10.10.3.1</w:t>
            </w:r>
          </w:p>
        </w:tc>
        <w:tc>
          <w:tcPr>
            <w:tcW w:w="1947" w:type="dxa"/>
            <w:vAlign w:val="bottom"/>
          </w:tcPr>
          <w:p w:rsidR="0062051D" w:rsidRPr="0093666A" w:rsidRDefault="0062051D" w:rsidP="0093666A">
            <w:pPr>
              <w:pStyle w:val="TableText"/>
            </w:pPr>
            <w:r w:rsidRPr="0093666A">
              <w:t>255.255.255.0</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2001:DB8:A:3::1/64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restart"/>
            <w:vAlign w:val="center"/>
          </w:tcPr>
          <w:p w:rsidR="0062051D" w:rsidRPr="0093666A" w:rsidRDefault="0062051D" w:rsidP="0093666A">
            <w:pPr>
              <w:pStyle w:val="TableText"/>
            </w:pPr>
            <w:r w:rsidRPr="0093666A">
              <w:t>S0/0/0</w:t>
            </w:r>
          </w:p>
        </w:tc>
        <w:tc>
          <w:tcPr>
            <w:tcW w:w="2199" w:type="dxa"/>
            <w:vAlign w:val="bottom"/>
          </w:tcPr>
          <w:p w:rsidR="0062051D" w:rsidRPr="0093666A" w:rsidRDefault="0062051D" w:rsidP="0093666A">
            <w:pPr>
              <w:pStyle w:val="TableText"/>
            </w:pPr>
            <w:r w:rsidRPr="0093666A">
              <w:t>10.10.1.10</w:t>
            </w:r>
          </w:p>
        </w:tc>
        <w:tc>
          <w:tcPr>
            <w:tcW w:w="1947" w:type="dxa"/>
            <w:vAlign w:val="bottom"/>
          </w:tcPr>
          <w:p w:rsidR="0062051D" w:rsidRPr="0093666A" w:rsidRDefault="0062051D" w:rsidP="0093666A">
            <w:pPr>
              <w:pStyle w:val="TableText"/>
            </w:pPr>
            <w:r w:rsidRPr="0093666A">
              <w:t>255.255.255.252</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2001:DB8:B:3::2/64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restart"/>
            <w:vAlign w:val="center"/>
          </w:tcPr>
          <w:p w:rsidR="0062051D" w:rsidRPr="0093666A" w:rsidRDefault="0062051D" w:rsidP="0093666A">
            <w:pPr>
              <w:pStyle w:val="TableText"/>
            </w:pPr>
            <w:r w:rsidRPr="0093666A">
              <w:t>S0/0/1</w:t>
            </w:r>
          </w:p>
        </w:tc>
        <w:tc>
          <w:tcPr>
            <w:tcW w:w="2199" w:type="dxa"/>
            <w:vAlign w:val="bottom"/>
          </w:tcPr>
          <w:p w:rsidR="0062051D" w:rsidRPr="0093666A" w:rsidRDefault="0062051D" w:rsidP="0093666A">
            <w:pPr>
              <w:pStyle w:val="TableText"/>
            </w:pPr>
            <w:r w:rsidRPr="0093666A">
              <w:t>10.10.1.6</w:t>
            </w:r>
          </w:p>
        </w:tc>
        <w:tc>
          <w:tcPr>
            <w:tcW w:w="1947" w:type="dxa"/>
            <w:vAlign w:val="bottom"/>
          </w:tcPr>
          <w:p w:rsidR="0062051D" w:rsidRPr="0093666A" w:rsidRDefault="0062051D" w:rsidP="0093666A">
            <w:pPr>
              <w:pStyle w:val="TableText"/>
            </w:pPr>
            <w:r w:rsidRPr="0093666A">
              <w:t>255.255.255.252</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2001:DB8:B:2::2/64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CB2E60">
            <w:pPr>
              <w:pStyle w:val="TableText"/>
            </w:pPr>
          </w:p>
        </w:tc>
        <w:tc>
          <w:tcPr>
            <w:tcW w:w="1222" w:type="dxa"/>
            <w:vAlign w:val="center"/>
          </w:tcPr>
          <w:p w:rsidR="0062051D" w:rsidRPr="0093666A" w:rsidRDefault="0062051D" w:rsidP="00CB2E60">
            <w:pPr>
              <w:pStyle w:val="TableText"/>
            </w:pPr>
            <w:r>
              <w:t>Link-Local</w:t>
            </w:r>
          </w:p>
        </w:tc>
        <w:tc>
          <w:tcPr>
            <w:tcW w:w="4146" w:type="dxa"/>
            <w:gridSpan w:val="2"/>
            <w:vAlign w:val="bottom"/>
          </w:tcPr>
          <w:p w:rsidR="0062051D" w:rsidRPr="0093666A" w:rsidRDefault="0062051D" w:rsidP="00CB2E60">
            <w:pPr>
              <w:pStyle w:val="TableText"/>
            </w:pPr>
            <w:r>
              <w:t>FE80::3</w:t>
            </w:r>
          </w:p>
        </w:tc>
        <w:tc>
          <w:tcPr>
            <w:tcW w:w="2040" w:type="dxa"/>
            <w:vAlign w:val="bottom"/>
          </w:tcPr>
          <w:p w:rsidR="0062051D" w:rsidRPr="0093666A" w:rsidRDefault="0062051D" w:rsidP="00CB2E60">
            <w:pPr>
              <w:pStyle w:val="TableText"/>
            </w:pPr>
            <w:r w:rsidRPr="0093666A">
              <w:t>N/A</w:t>
            </w:r>
          </w:p>
        </w:tc>
      </w:tr>
      <w:tr w:rsidR="0062051D" w:rsidRPr="000B0C00" w:rsidTr="0062051D">
        <w:trPr>
          <w:cantSplit/>
          <w:jc w:val="center"/>
        </w:trPr>
        <w:tc>
          <w:tcPr>
            <w:tcW w:w="1350" w:type="dxa"/>
            <w:vMerge w:val="restart"/>
            <w:vAlign w:val="center"/>
          </w:tcPr>
          <w:p w:rsidR="0062051D" w:rsidRPr="0093666A" w:rsidRDefault="0062051D" w:rsidP="0093666A">
            <w:pPr>
              <w:pStyle w:val="TableText"/>
            </w:pPr>
            <w:r w:rsidRPr="0093666A">
              <w:t>R4</w:t>
            </w:r>
          </w:p>
        </w:tc>
        <w:tc>
          <w:tcPr>
            <w:tcW w:w="1222" w:type="dxa"/>
            <w:vMerge w:val="restart"/>
            <w:vAlign w:val="center"/>
          </w:tcPr>
          <w:p w:rsidR="0062051D" w:rsidRPr="0093666A" w:rsidRDefault="0062051D" w:rsidP="0093666A">
            <w:pPr>
              <w:pStyle w:val="TableText"/>
            </w:pPr>
            <w:r w:rsidRPr="0093666A">
              <w:t>G0/0</w:t>
            </w:r>
          </w:p>
        </w:tc>
        <w:tc>
          <w:tcPr>
            <w:tcW w:w="2199" w:type="dxa"/>
            <w:vAlign w:val="bottom"/>
          </w:tcPr>
          <w:p w:rsidR="0062051D" w:rsidRPr="0093666A" w:rsidRDefault="0062051D" w:rsidP="0093666A">
            <w:pPr>
              <w:pStyle w:val="TableText"/>
            </w:pPr>
            <w:r w:rsidRPr="0093666A">
              <w:t>10.10.4.1</w:t>
            </w:r>
          </w:p>
        </w:tc>
        <w:tc>
          <w:tcPr>
            <w:tcW w:w="1947" w:type="dxa"/>
            <w:vAlign w:val="bottom"/>
          </w:tcPr>
          <w:p w:rsidR="0062051D" w:rsidRPr="0093666A" w:rsidRDefault="0062051D" w:rsidP="0093666A">
            <w:pPr>
              <w:pStyle w:val="TableText"/>
            </w:pPr>
            <w:r w:rsidRPr="0093666A">
              <w:t>255.255.255.0</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2001:DB8:A:4::1/64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restart"/>
            <w:vAlign w:val="center"/>
          </w:tcPr>
          <w:p w:rsidR="0062051D" w:rsidRPr="0093666A" w:rsidRDefault="0062051D" w:rsidP="0093666A">
            <w:pPr>
              <w:pStyle w:val="TableText"/>
            </w:pPr>
            <w:r w:rsidRPr="0093666A">
              <w:t>S0/0/1</w:t>
            </w:r>
          </w:p>
        </w:tc>
        <w:tc>
          <w:tcPr>
            <w:tcW w:w="2199" w:type="dxa"/>
            <w:vAlign w:val="bottom"/>
          </w:tcPr>
          <w:p w:rsidR="0062051D" w:rsidRPr="0093666A" w:rsidRDefault="0062051D" w:rsidP="0093666A">
            <w:pPr>
              <w:pStyle w:val="TableText"/>
            </w:pPr>
            <w:r w:rsidRPr="0093666A">
              <w:t>64.103.17.2</w:t>
            </w:r>
          </w:p>
        </w:tc>
        <w:tc>
          <w:tcPr>
            <w:tcW w:w="1947" w:type="dxa"/>
            <w:vAlign w:val="bottom"/>
          </w:tcPr>
          <w:p w:rsidR="0062051D" w:rsidRPr="0093666A" w:rsidRDefault="0062051D" w:rsidP="0093666A">
            <w:pPr>
              <w:pStyle w:val="TableText"/>
            </w:pPr>
            <w:r w:rsidRPr="0093666A">
              <w:t>255.255.255.252</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bottom"/>
          </w:tcPr>
          <w:p w:rsidR="0062051D" w:rsidRPr="0093666A" w:rsidRDefault="0062051D" w:rsidP="0093666A">
            <w:pPr>
              <w:pStyle w:val="TableText"/>
            </w:pPr>
          </w:p>
        </w:tc>
        <w:tc>
          <w:tcPr>
            <w:tcW w:w="1222" w:type="dxa"/>
            <w:vMerge/>
            <w:vAlign w:val="bottom"/>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2001:DB8:A:103::2/64</w:t>
            </w:r>
          </w:p>
        </w:tc>
        <w:tc>
          <w:tcPr>
            <w:tcW w:w="2040" w:type="dxa"/>
            <w:vAlign w:val="bottom"/>
          </w:tcPr>
          <w:p w:rsidR="0062051D" w:rsidRPr="0093666A" w:rsidRDefault="0062051D" w:rsidP="0093666A">
            <w:pPr>
              <w:pStyle w:val="TableText"/>
            </w:pPr>
            <w:r w:rsidRPr="0093666A">
              <w:t>N/A</w:t>
            </w:r>
          </w:p>
        </w:tc>
      </w:tr>
      <w:tr w:rsidR="0062051D" w:rsidRPr="000B0C00" w:rsidTr="0062051D">
        <w:trPr>
          <w:cantSplit/>
          <w:jc w:val="center"/>
        </w:trPr>
        <w:tc>
          <w:tcPr>
            <w:tcW w:w="1350" w:type="dxa"/>
            <w:vMerge/>
            <w:vAlign w:val="center"/>
          </w:tcPr>
          <w:p w:rsidR="0062051D" w:rsidRPr="0093666A" w:rsidRDefault="0062051D" w:rsidP="00CB2E60">
            <w:pPr>
              <w:pStyle w:val="TableText"/>
            </w:pPr>
          </w:p>
        </w:tc>
        <w:tc>
          <w:tcPr>
            <w:tcW w:w="1222" w:type="dxa"/>
            <w:vAlign w:val="center"/>
          </w:tcPr>
          <w:p w:rsidR="0062051D" w:rsidRPr="0093666A" w:rsidRDefault="0062051D" w:rsidP="00CB2E60">
            <w:pPr>
              <w:pStyle w:val="TableText"/>
            </w:pPr>
            <w:r>
              <w:t>Link-Local</w:t>
            </w:r>
          </w:p>
        </w:tc>
        <w:tc>
          <w:tcPr>
            <w:tcW w:w="4146" w:type="dxa"/>
            <w:gridSpan w:val="2"/>
            <w:vAlign w:val="bottom"/>
          </w:tcPr>
          <w:p w:rsidR="0062051D" w:rsidRPr="0093666A" w:rsidRDefault="0062051D" w:rsidP="00CB2E60">
            <w:pPr>
              <w:pStyle w:val="TableText"/>
            </w:pPr>
            <w:r>
              <w:t>FE80::4</w:t>
            </w:r>
          </w:p>
        </w:tc>
        <w:tc>
          <w:tcPr>
            <w:tcW w:w="2040" w:type="dxa"/>
            <w:vAlign w:val="bottom"/>
          </w:tcPr>
          <w:p w:rsidR="0062051D" w:rsidRPr="0093666A" w:rsidRDefault="0062051D" w:rsidP="00CB2E60">
            <w:pPr>
              <w:pStyle w:val="TableText"/>
            </w:pPr>
            <w:r w:rsidRPr="0093666A">
              <w:t>N/A</w:t>
            </w:r>
          </w:p>
        </w:tc>
      </w:tr>
      <w:tr w:rsidR="0062051D" w:rsidRPr="000B0C00" w:rsidTr="0062051D">
        <w:trPr>
          <w:cantSplit/>
          <w:jc w:val="center"/>
        </w:trPr>
        <w:tc>
          <w:tcPr>
            <w:tcW w:w="1350" w:type="dxa"/>
            <w:vMerge w:val="restart"/>
            <w:vAlign w:val="center"/>
          </w:tcPr>
          <w:p w:rsidR="0062051D" w:rsidRPr="0093666A" w:rsidRDefault="0062051D" w:rsidP="0093666A">
            <w:pPr>
              <w:pStyle w:val="TableText"/>
            </w:pPr>
            <w:r w:rsidRPr="0093666A">
              <w:t>Internet</w:t>
            </w:r>
          </w:p>
        </w:tc>
        <w:tc>
          <w:tcPr>
            <w:tcW w:w="1222" w:type="dxa"/>
            <w:vMerge w:val="restart"/>
            <w:vAlign w:val="center"/>
          </w:tcPr>
          <w:p w:rsidR="0062051D" w:rsidRPr="0093666A" w:rsidRDefault="0062051D" w:rsidP="0093666A">
            <w:pPr>
              <w:pStyle w:val="TableText"/>
            </w:pPr>
            <w:r w:rsidRPr="0093666A">
              <w:t>NIC</w:t>
            </w:r>
          </w:p>
        </w:tc>
        <w:tc>
          <w:tcPr>
            <w:tcW w:w="2199" w:type="dxa"/>
            <w:vAlign w:val="bottom"/>
          </w:tcPr>
          <w:p w:rsidR="0062051D" w:rsidRPr="0093666A" w:rsidRDefault="0062051D" w:rsidP="0093666A">
            <w:pPr>
              <w:pStyle w:val="TableText"/>
            </w:pPr>
            <w:r w:rsidRPr="0093666A">
              <w:t>209.165.44.2</w:t>
            </w:r>
          </w:p>
        </w:tc>
        <w:tc>
          <w:tcPr>
            <w:tcW w:w="1947" w:type="dxa"/>
            <w:vAlign w:val="bottom"/>
          </w:tcPr>
          <w:p w:rsidR="0062051D" w:rsidRPr="0093666A" w:rsidRDefault="0062051D" w:rsidP="0093666A">
            <w:pPr>
              <w:pStyle w:val="TableText"/>
            </w:pPr>
            <w:r w:rsidRPr="0093666A">
              <w:t>255.255.255.252</w:t>
            </w:r>
          </w:p>
        </w:tc>
        <w:tc>
          <w:tcPr>
            <w:tcW w:w="2040" w:type="dxa"/>
            <w:vAlign w:val="bottom"/>
          </w:tcPr>
          <w:p w:rsidR="0062051D" w:rsidRPr="0093666A" w:rsidRDefault="0062051D" w:rsidP="0093666A">
            <w:pPr>
              <w:pStyle w:val="TableText"/>
            </w:pPr>
            <w:r w:rsidRPr="0093666A">
              <w:t>209.165.44.1</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2001:DB8:A:209::2/64</w:t>
            </w:r>
          </w:p>
        </w:tc>
        <w:tc>
          <w:tcPr>
            <w:tcW w:w="2040" w:type="dxa"/>
            <w:vAlign w:val="bottom"/>
          </w:tcPr>
          <w:p w:rsidR="0062051D" w:rsidRPr="0093666A" w:rsidRDefault="0062051D" w:rsidP="0093666A">
            <w:pPr>
              <w:pStyle w:val="TableText"/>
            </w:pPr>
            <w:r w:rsidRPr="0093666A">
              <w:t>FE80::5</w:t>
            </w:r>
          </w:p>
        </w:tc>
      </w:tr>
      <w:tr w:rsidR="0062051D" w:rsidRPr="000B0C00" w:rsidTr="0062051D">
        <w:trPr>
          <w:cantSplit/>
          <w:jc w:val="center"/>
        </w:trPr>
        <w:tc>
          <w:tcPr>
            <w:tcW w:w="1350" w:type="dxa"/>
            <w:vMerge w:val="restart"/>
            <w:vAlign w:val="center"/>
          </w:tcPr>
          <w:p w:rsidR="0062051D" w:rsidRPr="0093666A" w:rsidRDefault="0062051D" w:rsidP="0093666A">
            <w:pPr>
              <w:pStyle w:val="TableText"/>
            </w:pPr>
            <w:r w:rsidRPr="0093666A">
              <w:t>Intranet</w:t>
            </w:r>
          </w:p>
        </w:tc>
        <w:tc>
          <w:tcPr>
            <w:tcW w:w="1222" w:type="dxa"/>
            <w:vMerge w:val="restart"/>
            <w:vAlign w:val="center"/>
          </w:tcPr>
          <w:p w:rsidR="0062051D" w:rsidRPr="0093666A" w:rsidRDefault="0062051D" w:rsidP="0093666A">
            <w:pPr>
              <w:pStyle w:val="TableText"/>
            </w:pPr>
            <w:r w:rsidRPr="0093666A">
              <w:t>NIC</w:t>
            </w:r>
          </w:p>
        </w:tc>
        <w:tc>
          <w:tcPr>
            <w:tcW w:w="2199" w:type="dxa"/>
            <w:vAlign w:val="bottom"/>
          </w:tcPr>
          <w:p w:rsidR="0062051D" w:rsidRPr="0093666A" w:rsidRDefault="0062051D" w:rsidP="0093666A">
            <w:pPr>
              <w:pStyle w:val="TableText"/>
            </w:pPr>
            <w:r w:rsidRPr="0093666A">
              <w:t>10.10.10.10</w:t>
            </w:r>
          </w:p>
        </w:tc>
        <w:tc>
          <w:tcPr>
            <w:tcW w:w="1947" w:type="dxa"/>
            <w:vAlign w:val="bottom"/>
          </w:tcPr>
          <w:p w:rsidR="0062051D" w:rsidRPr="0093666A" w:rsidRDefault="0062051D" w:rsidP="0093666A">
            <w:pPr>
              <w:pStyle w:val="TableText"/>
            </w:pPr>
            <w:r w:rsidRPr="0093666A">
              <w:t>255.255.255.192</w:t>
            </w:r>
          </w:p>
        </w:tc>
        <w:tc>
          <w:tcPr>
            <w:tcW w:w="2040" w:type="dxa"/>
            <w:vAlign w:val="bottom"/>
          </w:tcPr>
          <w:p w:rsidR="0062051D" w:rsidRPr="0093666A" w:rsidRDefault="0062051D" w:rsidP="0093666A">
            <w:pPr>
              <w:pStyle w:val="TableText"/>
            </w:pPr>
            <w:r w:rsidRPr="0093666A">
              <w:t>10.10.10.1</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2001:DB8:A:10::10/64</w:t>
            </w:r>
          </w:p>
        </w:tc>
        <w:tc>
          <w:tcPr>
            <w:tcW w:w="2040" w:type="dxa"/>
            <w:vAlign w:val="bottom"/>
          </w:tcPr>
          <w:p w:rsidR="0062051D" w:rsidRPr="0093666A" w:rsidRDefault="0062051D" w:rsidP="0093666A">
            <w:pPr>
              <w:pStyle w:val="TableText"/>
            </w:pPr>
            <w:r w:rsidRPr="0093666A">
              <w:t>FE80::1</w:t>
            </w:r>
          </w:p>
        </w:tc>
      </w:tr>
      <w:tr w:rsidR="0062051D" w:rsidRPr="000B0C00" w:rsidTr="0062051D">
        <w:trPr>
          <w:cantSplit/>
          <w:jc w:val="center"/>
        </w:trPr>
        <w:tc>
          <w:tcPr>
            <w:tcW w:w="1350" w:type="dxa"/>
            <w:vMerge w:val="restart"/>
            <w:vAlign w:val="center"/>
          </w:tcPr>
          <w:p w:rsidR="0062051D" w:rsidRPr="0093666A" w:rsidRDefault="0062051D" w:rsidP="0093666A">
            <w:pPr>
              <w:pStyle w:val="TableText"/>
            </w:pPr>
            <w:r w:rsidRPr="0093666A">
              <w:t xml:space="preserve">PC1 </w:t>
            </w:r>
            <w:r>
              <w:t>- PC6</w:t>
            </w:r>
          </w:p>
        </w:tc>
        <w:tc>
          <w:tcPr>
            <w:tcW w:w="1222" w:type="dxa"/>
            <w:vMerge w:val="restart"/>
            <w:vAlign w:val="center"/>
          </w:tcPr>
          <w:p w:rsidR="0062051D" w:rsidRPr="0093666A" w:rsidRDefault="0062051D" w:rsidP="0093666A">
            <w:pPr>
              <w:pStyle w:val="TableText"/>
            </w:pPr>
            <w:r w:rsidRPr="0093666A">
              <w:t>NIC</w:t>
            </w:r>
          </w:p>
        </w:tc>
        <w:tc>
          <w:tcPr>
            <w:tcW w:w="4146" w:type="dxa"/>
            <w:gridSpan w:val="2"/>
            <w:vAlign w:val="bottom"/>
          </w:tcPr>
          <w:p w:rsidR="0062051D" w:rsidRPr="0093666A" w:rsidRDefault="0062051D" w:rsidP="0093666A">
            <w:pPr>
              <w:pStyle w:val="TableText"/>
            </w:pPr>
            <w:r w:rsidRPr="0093666A">
              <w:t>DHCP</w:t>
            </w:r>
            <w:r>
              <w:t xml:space="preserve"> assigned</w:t>
            </w:r>
          </w:p>
        </w:tc>
        <w:tc>
          <w:tcPr>
            <w:tcW w:w="2040" w:type="dxa"/>
            <w:vAlign w:val="bottom"/>
          </w:tcPr>
          <w:p w:rsidR="0062051D" w:rsidRPr="0093666A" w:rsidRDefault="0062051D" w:rsidP="0093666A">
            <w:pPr>
              <w:pStyle w:val="TableText"/>
            </w:pPr>
            <w:r w:rsidRPr="0093666A">
              <w:t>DHCP</w:t>
            </w:r>
            <w:r>
              <w:t xml:space="preserve"> assigned</w:t>
            </w:r>
          </w:p>
        </w:tc>
      </w:tr>
      <w:tr w:rsidR="0062051D" w:rsidRPr="000B0C00" w:rsidTr="0062051D">
        <w:trPr>
          <w:cantSplit/>
          <w:jc w:val="center"/>
        </w:trPr>
        <w:tc>
          <w:tcPr>
            <w:tcW w:w="1350" w:type="dxa"/>
            <w:vMerge/>
            <w:vAlign w:val="center"/>
          </w:tcPr>
          <w:p w:rsidR="0062051D" w:rsidRPr="0093666A" w:rsidRDefault="0062051D" w:rsidP="0093666A">
            <w:pPr>
              <w:pStyle w:val="TableText"/>
            </w:pPr>
          </w:p>
        </w:tc>
        <w:tc>
          <w:tcPr>
            <w:tcW w:w="1222" w:type="dxa"/>
            <w:vMerge/>
            <w:vAlign w:val="center"/>
          </w:tcPr>
          <w:p w:rsidR="0062051D" w:rsidRPr="0093666A" w:rsidRDefault="0062051D" w:rsidP="0093666A">
            <w:pPr>
              <w:pStyle w:val="TableText"/>
            </w:pPr>
          </w:p>
        </w:tc>
        <w:tc>
          <w:tcPr>
            <w:tcW w:w="4146" w:type="dxa"/>
            <w:gridSpan w:val="2"/>
            <w:vAlign w:val="bottom"/>
          </w:tcPr>
          <w:p w:rsidR="0062051D" w:rsidRPr="0093666A" w:rsidRDefault="0062051D" w:rsidP="0093666A">
            <w:pPr>
              <w:pStyle w:val="TableText"/>
            </w:pPr>
            <w:r w:rsidRPr="0093666A">
              <w:t xml:space="preserve">Auto </w:t>
            </w:r>
            <w:proofErr w:type="spellStart"/>
            <w:r w:rsidRPr="0093666A">
              <w:t>Config</w:t>
            </w:r>
            <w:proofErr w:type="spellEnd"/>
          </w:p>
        </w:tc>
        <w:tc>
          <w:tcPr>
            <w:tcW w:w="2040" w:type="dxa"/>
            <w:vAlign w:val="bottom"/>
          </w:tcPr>
          <w:p w:rsidR="0062051D" w:rsidRPr="0093666A" w:rsidRDefault="0062051D" w:rsidP="00CB2E60">
            <w:pPr>
              <w:pStyle w:val="TableText"/>
            </w:pPr>
            <w:r w:rsidRPr="0093666A">
              <w:t xml:space="preserve">Auto </w:t>
            </w:r>
            <w:proofErr w:type="spellStart"/>
            <w:r w:rsidRPr="0093666A">
              <w:t>Config</w:t>
            </w:r>
            <w:proofErr w:type="spellEnd"/>
          </w:p>
        </w:tc>
      </w:tr>
    </w:tbl>
    <w:p w:rsidR="0038275D" w:rsidRPr="00C07FD9" w:rsidRDefault="0038275D" w:rsidP="0038275D">
      <w:pPr>
        <w:pStyle w:val="LabSection"/>
      </w:pPr>
      <w:r>
        <w:t>Scenario</w:t>
      </w:r>
    </w:p>
    <w:p w:rsidR="0038275D" w:rsidRPr="0038275D" w:rsidRDefault="0038275D" w:rsidP="00630087">
      <w:pPr>
        <w:pStyle w:val="BodyTextL25"/>
      </w:pPr>
      <w:r>
        <w:t>Your business has just expanded into a different town and needs to expand its presence across the Internet.</w:t>
      </w:r>
      <w:r w:rsidRPr="0038275D">
        <w:t xml:space="preserve"> </w:t>
      </w:r>
      <w:r w:rsidR="0093666A">
        <w:t>You are tasked with completing the upgrades to the enterprise network</w:t>
      </w:r>
      <w:r w:rsidR="003A278D">
        <w:t>,</w:t>
      </w:r>
      <w:r w:rsidR="0093666A">
        <w:t xml:space="preserve"> which includes dual-stacked IPv4 and IPv6</w:t>
      </w:r>
      <w:r w:rsidR="00764C66">
        <w:t>,</w:t>
      </w:r>
      <w:r w:rsidR="0093666A">
        <w:t xml:space="preserve"> </w:t>
      </w:r>
      <w:r w:rsidR="003A278D">
        <w:t>and</w:t>
      </w:r>
      <w:r w:rsidR="0093666A">
        <w:t xml:space="preserve"> a variety of </w:t>
      </w:r>
      <w:r w:rsidR="0062051D">
        <w:t>addressing and routing technologies</w:t>
      </w:r>
      <w:r>
        <w:t>.</w:t>
      </w:r>
    </w:p>
    <w:p w:rsidR="00554B4E" w:rsidRPr="004C0909" w:rsidRDefault="009B68F8" w:rsidP="00E276D2">
      <w:pPr>
        <w:pStyle w:val="LabSection"/>
        <w:numPr>
          <w:ilvl w:val="0"/>
          <w:numId w:val="0"/>
        </w:numPr>
      </w:pPr>
      <w:r>
        <w:t>Requirement</w:t>
      </w:r>
      <w:r w:rsidR="006E6581">
        <w:t>s</w:t>
      </w:r>
    </w:p>
    <w:p w:rsidR="004F2B19" w:rsidRPr="004F2B19" w:rsidRDefault="004F2B19" w:rsidP="00CC6B9A">
      <w:pPr>
        <w:pStyle w:val="Bulletlevel1"/>
        <w:numPr>
          <w:ilvl w:val="0"/>
          <w:numId w:val="0"/>
        </w:numPr>
        <w:ind w:left="360"/>
      </w:pPr>
      <w:r>
        <w:rPr>
          <w:b/>
        </w:rPr>
        <w:t>Note</w:t>
      </w:r>
      <w:r w:rsidRPr="003A278D">
        <w:t>:</w:t>
      </w:r>
      <w:r>
        <w:rPr>
          <w:b/>
        </w:rPr>
        <w:t xml:space="preserve"> </w:t>
      </w:r>
      <w:r>
        <w:t>Although not required, adding additional labeling to the topology may help you as you proceed.</w:t>
      </w:r>
      <w:r w:rsidR="003659C6">
        <w:t xml:space="preserve"> All names and passwords are case-sensitive.</w:t>
      </w:r>
    </w:p>
    <w:p w:rsidR="00CC6B9A" w:rsidRPr="006B4743" w:rsidRDefault="00CC6B9A" w:rsidP="00CC6B9A">
      <w:pPr>
        <w:pStyle w:val="Bulletlevel1"/>
        <w:numPr>
          <w:ilvl w:val="0"/>
          <w:numId w:val="0"/>
        </w:numPr>
        <w:ind w:left="360"/>
        <w:rPr>
          <w:b/>
        </w:rPr>
      </w:pPr>
      <w:r w:rsidRPr="006B4743">
        <w:rPr>
          <w:b/>
        </w:rPr>
        <w:t xml:space="preserve">Basic Device Configuration </w:t>
      </w:r>
    </w:p>
    <w:p w:rsidR="0038275D" w:rsidRDefault="0038275D" w:rsidP="00193F14">
      <w:pPr>
        <w:pStyle w:val="Bulletlevel1"/>
      </w:pPr>
      <w:r>
        <w:t>Configure the following o</w:t>
      </w:r>
      <w:r w:rsidR="001207A2">
        <w:t xml:space="preserve">n </w:t>
      </w:r>
      <w:r w:rsidR="001207A2" w:rsidRPr="001207A2">
        <w:rPr>
          <w:b/>
        </w:rPr>
        <w:t>R1</w:t>
      </w:r>
      <w:r w:rsidR="001207A2">
        <w:t xml:space="preserve"> and </w:t>
      </w:r>
      <w:r w:rsidR="001207A2" w:rsidRPr="001207A2">
        <w:rPr>
          <w:b/>
        </w:rPr>
        <w:t>R4</w:t>
      </w:r>
      <w:r w:rsidR="000C1EC4">
        <w:t>.</w:t>
      </w:r>
    </w:p>
    <w:p w:rsidR="008B4868" w:rsidRDefault="008B4868" w:rsidP="0038275D">
      <w:pPr>
        <w:pStyle w:val="Bulletlevel2"/>
      </w:pPr>
      <w:r>
        <w:t xml:space="preserve">Set the </w:t>
      </w:r>
      <w:r w:rsidR="0062051D">
        <w:t>device names</w:t>
      </w:r>
      <w:r>
        <w:t xml:space="preserve"> </w:t>
      </w:r>
      <w:r w:rsidR="0062051D">
        <w:t>to match the</w:t>
      </w:r>
      <w:r w:rsidR="0038275D">
        <w:t xml:space="preserve"> </w:t>
      </w:r>
      <w:r w:rsidR="0038275D" w:rsidRPr="0038275D">
        <w:rPr>
          <w:b/>
        </w:rPr>
        <w:t>A</w:t>
      </w:r>
      <w:r w:rsidRPr="0038275D">
        <w:rPr>
          <w:b/>
        </w:rPr>
        <w:t xml:space="preserve">ddressing </w:t>
      </w:r>
      <w:r w:rsidR="0038275D" w:rsidRPr="0038275D">
        <w:rPr>
          <w:b/>
        </w:rPr>
        <w:t>T</w:t>
      </w:r>
      <w:r w:rsidRPr="0038275D">
        <w:rPr>
          <w:b/>
        </w:rPr>
        <w:t>able</w:t>
      </w:r>
      <w:r>
        <w:t>.</w:t>
      </w:r>
    </w:p>
    <w:p w:rsidR="00CC6B9A" w:rsidRDefault="00CC6B9A" w:rsidP="00CC6B9A">
      <w:pPr>
        <w:pStyle w:val="Bulletlevel2"/>
      </w:pPr>
      <w:r>
        <w:t xml:space="preserve">Set </w:t>
      </w:r>
      <w:r w:rsidRPr="006C6AC5">
        <w:rPr>
          <w:b/>
        </w:rPr>
        <w:t>c</w:t>
      </w:r>
      <w:r>
        <w:rPr>
          <w:b/>
        </w:rPr>
        <w:t>isco</w:t>
      </w:r>
      <w:r>
        <w:t xml:space="preserve"> as the encrypted privileged EXEC mode password.</w:t>
      </w:r>
    </w:p>
    <w:p w:rsidR="00554B4E" w:rsidRDefault="008B4868" w:rsidP="0038275D">
      <w:pPr>
        <w:pStyle w:val="Bulletlevel2"/>
      </w:pPr>
      <w:r>
        <w:t>Set a b</w:t>
      </w:r>
      <w:r w:rsidR="007A3421">
        <w:t>anner MOTD</w:t>
      </w:r>
      <w:r>
        <w:t xml:space="preserve"> </w:t>
      </w:r>
      <w:r w:rsidR="0062051D">
        <w:t xml:space="preserve">which includes the word </w:t>
      </w:r>
      <w:r w:rsidR="0062051D">
        <w:rPr>
          <w:b/>
        </w:rPr>
        <w:t>warn</w:t>
      </w:r>
      <w:r>
        <w:t>.</w:t>
      </w:r>
    </w:p>
    <w:p w:rsidR="008B4868" w:rsidRDefault="008B4868" w:rsidP="0038275D">
      <w:pPr>
        <w:pStyle w:val="Bulletlevel2"/>
      </w:pPr>
      <w:r>
        <w:t xml:space="preserve">Set the IPv4 </w:t>
      </w:r>
      <w:r w:rsidR="0062051D">
        <w:t xml:space="preserve">and IPv6 </w:t>
      </w:r>
      <w:r>
        <w:t xml:space="preserve">addresses </w:t>
      </w:r>
      <w:r w:rsidR="0062051D">
        <w:t>according to</w:t>
      </w:r>
      <w:r w:rsidR="0038275D">
        <w:t xml:space="preserve"> the </w:t>
      </w:r>
      <w:r w:rsidR="0038275D" w:rsidRPr="0038275D">
        <w:rPr>
          <w:b/>
        </w:rPr>
        <w:t>Addressing T</w:t>
      </w:r>
      <w:r w:rsidR="00B9626A" w:rsidRPr="0038275D">
        <w:rPr>
          <w:b/>
        </w:rPr>
        <w:t>able</w:t>
      </w:r>
      <w:r w:rsidR="00B9626A">
        <w:t>.</w:t>
      </w:r>
    </w:p>
    <w:p w:rsidR="006A36D8" w:rsidRDefault="006A36D8" w:rsidP="006A36D8">
      <w:pPr>
        <w:pStyle w:val="Bulletlevel2"/>
      </w:pPr>
      <w:r w:rsidRPr="006A36D8">
        <w:t>Assign the link local address to each interface.</w:t>
      </w:r>
    </w:p>
    <w:p w:rsidR="00CC6B9A" w:rsidRPr="006B4743" w:rsidRDefault="00CC6B9A" w:rsidP="00CC6B9A">
      <w:pPr>
        <w:pStyle w:val="Bulletlevel1"/>
        <w:numPr>
          <w:ilvl w:val="0"/>
          <w:numId w:val="0"/>
        </w:numPr>
        <w:ind w:left="360"/>
        <w:rPr>
          <w:b/>
        </w:rPr>
      </w:pPr>
      <w:r w:rsidRPr="006B4743">
        <w:rPr>
          <w:b/>
        </w:rPr>
        <w:t>SSH</w:t>
      </w:r>
    </w:p>
    <w:p w:rsidR="0038275D" w:rsidRDefault="0038275D" w:rsidP="00CC017B">
      <w:pPr>
        <w:pStyle w:val="Bulletlevel1"/>
      </w:pPr>
      <w:r>
        <w:t xml:space="preserve">Configure SSH on </w:t>
      </w:r>
      <w:r w:rsidRPr="0038275D">
        <w:rPr>
          <w:b/>
        </w:rPr>
        <w:t>R4</w:t>
      </w:r>
      <w:r w:rsidR="000C1EC4">
        <w:t>.</w:t>
      </w:r>
    </w:p>
    <w:p w:rsidR="0038275D" w:rsidRPr="0038275D" w:rsidRDefault="0038275D" w:rsidP="0038275D">
      <w:pPr>
        <w:pStyle w:val="Bulletlevel2"/>
      </w:pPr>
      <w:r>
        <w:t xml:space="preserve">Set a domain name of </w:t>
      </w:r>
      <w:r w:rsidRPr="0038275D">
        <w:rPr>
          <w:b/>
        </w:rPr>
        <w:t>R4</w:t>
      </w:r>
      <w:r w:rsidR="0070773C" w:rsidRPr="0070773C">
        <w:t>.</w:t>
      </w:r>
    </w:p>
    <w:p w:rsidR="0038275D" w:rsidRPr="0038275D" w:rsidRDefault="0038275D" w:rsidP="0038275D">
      <w:pPr>
        <w:pStyle w:val="Bulletlevel2"/>
      </w:pPr>
      <w:r w:rsidRPr="0038275D">
        <w:t>Create</w:t>
      </w:r>
      <w:r>
        <w:t xml:space="preserve"> a user of </w:t>
      </w:r>
      <w:r>
        <w:rPr>
          <w:b/>
        </w:rPr>
        <w:t>a</w:t>
      </w:r>
      <w:r w:rsidRPr="0038275D">
        <w:rPr>
          <w:b/>
        </w:rPr>
        <w:t>dmin</w:t>
      </w:r>
      <w:r w:rsidR="00223DC2">
        <w:t xml:space="preserve"> with an encrypted </w:t>
      </w:r>
      <w:r>
        <w:t xml:space="preserve">password of </w:t>
      </w:r>
      <w:r w:rsidRPr="0038275D">
        <w:rPr>
          <w:b/>
        </w:rPr>
        <w:t>cisco</w:t>
      </w:r>
      <w:r>
        <w:t>.</w:t>
      </w:r>
    </w:p>
    <w:p w:rsidR="0038275D" w:rsidRDefault="0038275D" w:rsidP="0038275D">
      <w:pPr>
        <w:pStyle w:val="Bulletlevel2"/>
      </w:pPr>
      <w:r>
        <w:t>Create a 2</w:t>
      </w:r>
      <w:r w:rsidR="003A278D">
        <w:t>,048-</w:t>
      </w:r>
      <w:r>
        <w:t>bit RSA key.</w:t>
      </w:r>
    </w:p>
    <w:p w:rsidR="0038275D" w:rsidRDefault="0038275D" w:rsidP="0038275D">
      <w:pPr>
        <w:pStyle w:val="Bulletlevel2"/>
      </w:pPr>
      <w:r>
        <w:t xml:space="preserve">Configure all </w:t>
      </w:r>
      <w:proofErr w:type="spellStart"/>
      <w:r w:rsidR="003A278D">
        <w:t>vty</w:t>
      </w:r>
      <w:proofErr w:type="spellEnd"/>
      <w:r>
        <w:t xml:space="preserve"> lines to use</w:t>
      </w:r>
      <w:r w:rsidR="00F21027">
        <w:t xml:space="preserve"> SSH and</w:t>
      </w:r>
      <w:r w:rsidR="003A278D">
        <w:t xml:space="preserve"> a</w:t>
      </w:r>
      <w:r w:rsidR="00F21027">
        <w:t xml:space="preserve"> local login.</w:t>
      </w:r>
    </w:p>
    <w:p w:rsidR="00CC6B9A" w:rsidRPr="006B4743" w:rsidRDefault="005500B8" w:rsidP="005500B8">
      <w:pPr>
        <w:pStyle w:val="BodyTextL25"/>
        <w:rPr>
          <w:b/>
        </w:rPr>
      </w:pPr>
      <w:r w:rsidRPr="006B4743">
        <w:rPr>
          <w:b/>
        </w:rPr>
        <w:t>DHCPv4</w:t>
      </w:r>
    </w:p>
    <w:p w:rsidR="00B51E90" w:rsidRDefault="00B51E90" w:rsidP="00B51E90">
      <w:pPr>
        <w:pStyle w:val="Bulletlevel1"/>
      </w:pPr>
      <w:r>
        <w:t xml:space="preserve">Configure </w:t>
      </w:r>
      <w:r w:rsidRPr="0070773C">
        <w:rPr>
          <w:b/>
        </w:rPr>
        <w:t>R4</w:t>
      </w:r>
      <w:r>
        <w:t xml:space="preserve"> to act as a DHCP se</w:t>
      </w:r>
      <w:r w:rsidR="001207A2">
        <w:t xml:space="preserve">rver for its </w:t>
      </w:r>
      <w:r w:rsidR="00630087">
        <w:t>LAN.</w:t>
      </w:r>
    </w:p>
    <w:p w:rsidR="00B51E90" w:rsidRDefault="001207A2" w:rsidP="00B51E90">
      <w:pPr>
        <w:pStyle w:val="Bulletlevel2"/>
      </w:pPr>
      <w:r>
        <w:t>Create a DHCP pool using the</w:t>
      </w:r>
      <w:r w:rsidR="00B51E90">
        <w:t xml:space="preserve"> </w:t>
      </w:r>
      <w:r w:rsidR="00CC6B9A">
        <w:t xml:space="preserve">name </w:t>
      </w:r>
      <w:r w:rsidR="00CC6B9A" w:rsidRPr="00CC6B9A">
        <w:rPr>
          <w:b/>
        </w:rPr>
        <w:t>R4</w:t>
      </w:r>
      <w:r w:rsidR="00B51E90">
        <w:t>.</w:t>
      </w:r>
    </w:p>
    <w:p w:rsidR="00B51E90" w:rsidRDefault="00B51E90" w:rsidP="00B51E90">
      <w:pPr>
        <w:pStyle w:val="Bulletlevel2"/>
      </w:pPr>
      <w:r>
        <w:t xml:space="preserve">Assign the appropriate </w:t>
      </w:r>
      <w:r w:rsidR="00CC6B9A">
        <w:t>addressing information</w:t>
      </w:r>
      <w:r>
        <w:t xml:space="preserve"> to </w:t>
      </w:r>
      <w:r w:rsidR="001207A2">
        <w:t>the</w:t>
      </w:r>
      <w:r w:rsidR="00CC6B9A">
        <w:t xml:space="preserve"> pool including the 209.165.44.2 as the DNS server</w:t>
      </w:r>
      <w:r w:rsidR="003A278D">
        <w:t>.</w:t>
      </w:r>
    </w:p>
    <w:p w:rsidR="00B51E90" w:rsidRDefault="0070773C" w:rsidP="00B51E90">
      <w:pPr>
        <w:pStyle w:val="Bulletlevel2"/>
      </w:pPr>
      <w:r>
        <w:t xml:space="preserve">Prevent the </w:t>
      </w:r>
      <w:r w:rsidR="00B51E90">
        <w:t xml:space="preserve">address </w:t>
      </w:r>
      <w:r>
        <w:t>used by the router</w:t>
      </w:r>
      <w:r w:rsidR="00B51E90">
        <w:t xml:space="preserve"> from being distributed to end devices.</w:t>
      </w:r>
    </w:p>
    <w:p w:rsidR="005500B8" w:rsidRPr="006B4743" w:rsidRDefault="005500B8" w:rsidP="005500B8">
      <w:pPr>
        <w:pStyle w:val="BodyTextL25"/>
        <w:rPr>
          <w:b/>
        </w:rPr>
      </w:pPr>
      <w:r w:rsidRPr="006B4743">
        <w:rPr>
          <w:b/>
        </w:rPr>
        <w:t>NAT</w:t>
      </w:r>
    </w:p>
    <w:p w:rsidR="0070773C" w:rsidRDefault="00DD06F0" w:rsidP="00764C66">
      <w:pPr>
        <w:pStyle w:val="Bulletlevel1"/>
      </w:pPr>
      <w:r>
        <w:t>Configure NAT/</w:t>
      </w:r>
      <w:r w:rsidR="00764C66" w:rsidRPr="00764C66">
        <w:t xml:space="preserve">PAT on </w:t>
      </w:r>
      <w:r w:rsidR="00764C66" w:rsidRPr="00764C66">
        <w:rPr>
          <w:b/>
        </w:rPr>
        <w:t>R4</w:t>
      </w:r>
      <w:r w:rsidR="00764C66" w:rsidRPr="00764C66">
        <w:t xml:space="preserve"> so that all devices on the LAN use the IP address on the Serial 0/0/1 to access the Internet</w:t>
      </w:r>
      <w:r w:rsidR="00630087" w:rsidRPr="00A3003C">
        <w:t>.</w:t>
      </w:r>
    </w:p>
    <w:p w:rsidR="00E276D2" w:rsidRDefault="00E276D2" w:rsidP="00E276D2">
      <w:pPr>
        <w:pStyle w:val="Bulletlevel2"/>
      </w:pPr>
      <w:r>
        <w:t xml:space="preserve">Use </w:t>
      </w:r>
      <w:r w:rsidR="00FA5C6E">
        <w:t xml:space="preserve">a single statement in </w:t>
      </w:r>
      <w:r>
        <w:t>access</w:t>
      </w:r>
      <w:r w:rsidR="00C80DF2">
        <w:t xml:space="preserve"> </w:t>
      </w:r>
      <w:r>
        <w:t xml:space="preserve">list </w:t>
      </w:r>
      <w:r w:rsidRPr="00C80DF2">
        <w:rPr>
          <w:b/>
        </w:rPr>
        <w:t>1</w:t>
      </w:r>
      <w:r>
        <w:t xml:space="preserve"> to define the addresses that will participate in NAT.</w:t>
      </w:r>
      <w:r w:rsidR="00CD61CA">
        <w:t xml:space="preserve"> Allow only the 10.</w:t>
      </w:r>
      <w:r w:rsidR="00764C66">
        <w:t>10.4.</w:t>
      </w:r>
      <w:r w:rsidR="00CD61CA">
        <w:t>0/24 address space.</w:t>
      </w:r>
    </w:p>
    <w:p w:rsidR="00DD06F0" w:rsidRDefault="003A278D" w:rsidP="00DD06F0">
      <w:pPr>
        <w:pStyle w:val="Bulletlevel2"/>
      </w:pPr>
      <w:r>
        <w:t>Enable NAT/</w:t>
      </w:r>
      <w:r w:rsidR="00E276D2">
        <w:t>PAT using the access</w:t>
      </w:r>
      <w:r w:rsidR="00CC6B9A">
        <w:t xml:space="preserve"> </w:t>
      </w:r>
      <w:r w:rsidR="00E276D2">
        <w:t>list.</w:t>
      </w:r>
    </w:p>
    <w:p w:rsidR="00DD06F0" w:rsidRDefault="00DD06F0" w:rsidP="00DD06F0">
      <w:pPr>
        <w:pStyle w:val="Bulletlevel2"/>
      </w:pPr>
      <w:r>
        <w:t>Configure the appropriate interfaces as NAT inside or outside.</w:t>
      </w:r>
    </w:p>
    <w:p w:rsidR="00E276D2" w:rsidRDefault="00E276D2" w:rsidP="00E276D2">
      <w:pPr>
        <w:pStyle w:val="Bulletlevel1"/>
      </w:pPr>
      <w:r>
        <w:lastRenderedPageBreak/>
        <w:t xml:space="preserve">Configure </w:t>
      </w:r>
      <w:r w:rsidR="00EB0C74">
        <w:t>PAT</w:t>
      </w:r>
      <w:r>
        <w:t xml:space="preserve"> on </w:t>
      </w:r>
      <w:r>
        <w:rPr>
          <w:b/>
        </w:rPr>
        <w:t>R1</w:t>
      </w:r>
      <w:r w:rsidR="000C1EC4">
        <w:t>.</w:t>
      </w:r>
    </w:p>
    <w:p w:rsidR="00E276D2" w:rsidRDefault="00E276D2" w:rsidP="003659C6">
      <w:pPr>
        <w:pStyle w:val="Bulletlevel2"/>
      </w:pPr>
      <w:r>
        <w:t xml:space="preserve">Use </w:t>
      </w:r>
      <w:r w:rsidR="00FA5C6E">
        <w:t xml:space="preserve">a single statement in </w:t>
      </w:r>
      <w:r w:rsidR="00CD61CA">
        <w:t xml:space="preserve">access </w:t>
      </w:r>
      <w:r>
        <w:t xml:space="preserve">list </w:t>
      </w:r>
      <w:r w:rsidRPr="00CD61CA">
        <w:rPr>
          <w:b/>
        </w:rPr>
        <w:t>1</w:t>
      </w:r>
      <w:r>
        <w:t xml:space="preserve"> to define the addresses that will participate in NAT.</w:t>
      </w:r>
      <w:r w:rsidR="00CD61CA">
        <w:t xml:space="preserve"> Allow only the 10.10.0.0/16 address space.</w:t>
      </w:r>
    </w:p>
    <w:p w:rsidR="00FA5C6E" w:rsidRDefault="00FA5C6E" w:rsidP="00FA5C6E">
      <w:pPr>
        <w:pStyle w:val="Bulletlevel2"/>
      </w:pPr>
      <w:r>
        <w:t xml:space="preserve">Define </w:t>
      </w:r>
      <w:r w:rsidR="003659C6">
        <w:t xml:space="preserve">a </w:t>
      </w:r>
      <w:r>
        <w:t>pool</w:t>
      </w:r>
      <w:r w:rsidR="003659C6">
        <w:t xml:space="preserve"> named</w:t>
      </w:r>
      <w:r>
        <w:t xml:space="preserve"> </w:t>
      </w:r>
      <w:r w:rsidRPr="00FA5C6E">
        <w:rPr>
          <w:b/>
        </w:rPr>
        <w:t>R1</w:t>
      </w:r>
      <w:r>
        <w:t xml:space="preserve"> </w:t>
      </w:r>
      <w:r w:rsidR="003659C6">
        <w:t>to use all four addresses in the 64.102.139.4/30 address space</w:t>
      </w:r>
      <w:r w:rsidR="003A278D">
        <w:t>.</w:t>
      </w:r>
    </w:p>
    <w:p w:rsidR="003659C6" w:rsidRDefault="003659C6" w:rsidP="00FA5C6E">
      <w:pPr>
        <w:pStyle w:val="Bulletlevel2"/>
      </w:pPr>
      <w:r>
        <w:t xml:space="preserve">Assign access list </w:t>
      </w:r>
      <w:r w:rsidRPr="003659C6">
        <w:rPr>
          <w:b/>
        </w:rPr>
        <w:t>1</w:t>
      </w:r>
      <w:r>
        <w:t xml:space="preserve"> to the </w:t>
      </w:r>
      <w:r w:rsidRPr="003659C6">
        <w:rPr>
          <w:b/>
        </w:rPr>
        <w:t>R1</w:t>
      </w:r>
      <w:r w:rsidRPr="003659C6">
        <w:t xml:space="preserve"> pool</w:t>
      </w:r>
      <w:r>
        <w:t>.</w:t>
      </w:r>
    </w:p>
    <w:p w:rsidR="00DD06F0" w:rsidRDefault="00DD06F0" w:rsidP="00FA5C6E">
      <w:pPr>
        <w:pStyle w:val="Bulletlevel2"/>
      </w:pPr>
      <w:r>
        <w:t>Configure the appropriate interfaces as NAT inside or outside.</w:t>
      </w:r>
    </w:p>
    <w:p w:rsidR="00FA5C6E" w:rsidRDefault="003A278D" w:rsidP="00FA5C6E">
      <w:pPr>
        <w:pStyle w:val="Bulletlevel1"/>
      </w:pPr>
      <w:r>
        <w:t>Configure s</w:t>
      </w:r>
      <w:r w:rsidR="00FA5C6E">
        <w:t xml:space="preserve">tatic NAT on </w:t>
      </w:r>
      <w:r w:rsidR="00FA5C6E">
        <w:rPr>
          <w:b/>
        </w:rPr>
        <w:t>R1</w:t>
      </w:r>
      <w:r w:rsidR="00FA5C6E">
        <w:t xml:space="preserve"> for remote access to </w:t>
      </w:r>
      <w:r w:rsidR="00FA5C6E">
        <w:rPr>
          <w:b/>
        </w:rPr>
        <w:t>Intranet</w:t>
      </w:r>
      <w:r w:rsidR="00EB0C74">
        <w:rPr>
          <w:b/>
        </w:rPr>
        <w:t xml:space="preserve">.pka </w:t>
      </w:r>
      <w:r w:rsidR="00EB0C74">
        <w:t>server</w:t>
      </w:r>
      <w:r w:rsidR="000C1EC4">
        <w:t>.</w:t>
      </w:r>
    </w:p>
    <w:p w:rsidR="00FA5C6E" w:rsidRDefault="00FA5C6E" w:rsidP="00FA5C6E">
      <w:pPr>
        <w:pStyle w:val="Bulletlevel2"/>
      </w:pPr>
      <w:r>
        <w:t xml:space="preserve">Use a static NAT statement to redirect </w:t>
      </w:r>
      <w:proofErr w:type="gramStart"/>
      <w:r>
        <w:t>TCP port 80 traffic from 64.102.139.2 to 10.10.10.10</w:t>
      </w:r>
      <w:proofErr w:type="gramEnd"/>
      <w:r>
        <w:t>.</w:t>
      </w:r>
    </w:p>
    <w:p w:rsidR="003751E0" w:rsidRDefault="003751E0" w:rsidP="00FA5C6E">
      <w:pPr>
        <w:pStyle w:val="Bulletlevel2"/>
      </w:pPr>
      <w:r>
        <w:t xml:space="preserve">Use a static NAT statement to redirect </w:t>
      </w:r>
      <w:proofErr w:type="gramStart"/>
      <w:r>
        <w:t>TCP port 443 traffic from 64.102.139.2 to 10.10.10.10</w:t>
      </w:r>
      <w:proofErr w:type="gramEnd"/>
      <w:r>
        <w:t>.</w:t>
      </w:r>
    </w:p>
    <w:p w:rsidR="005500B8" w:rsidRPr="006B4743" w:rsidRDefault="005500B8" w:rsidP="005500B8">
      <w:pPr>
        <w:pStyle w:val="BodyTextL25"/>
        <w:rPr>
          <w:b/>
        </w:rPr>
      </w:pPr>
      <w:r w:rsidRPr="006B4743">
        <w:rPr>
          <w:b/>
        </w:rPr>
        <w:t>Default Routing</w:t>
      </w:r>
    </w:p>
    <w:p w:rsidR="005500B8" w:rsidRDefault="005500B8" w:rsidP="005500B8">
      <w:pPr>
        <w:pStyle w:val="Bulletlevel1"/>
      </w:pPr>
      <w:r>
        <w:t xml:space="preserve">On </w:t>
      </w:r>
      <w:r w:rsidRPr="005500B8">
        <w:rPr>
          <w:b/>
        </w:rPr>
        <w:t>R1</w:t>
      </w:r>
      <w:r>
        <w:t>, configure an IPv4 default route using the next-hop IP address 64.102.139.1.</w:t>
      </w:r>
    </w:p>
    <w:p w:rsidR="005500B8" w:rsidRDefault="005500B8" w:rsidP="005500B8">
      <w:pPr>
        <w:pStyle w:val="Bulletlevel1"/>
      </w:pPr>
      <w:r>
        <w:t xml:space="preserve">On </w:t>
      </w:r>
      <w:r w:rsidRPr="005500B8">
        <w:rPr>
          <w:b/>
        </w:rPr>
        <w:t>R1</w:t>
      </w:r>
      <w:r>
        <w:t>, configure an IPv6 default route using the exit interface.</w:t>
      </w:r>
    </w:p>
    <w:p w:rsidR="005500B8" w:rsidRDefault="005500B8" w:rsidP="005500B8">
      <w:pPr>
        <w:pStyle w:val="Bulletlevel1"/>
      </w:pPr>
      <w:r>
        <w:t xml:space="preserve">On </w:t>
      </w:r>
      <w:r w:rsidRPr="006B4743">
        <w:rPr>
          <w:b/>
        </w:rPr>
        <w:t>R4</w:t>
      </w:r>
      <w:r>
        <w:t>, configure an IPv4 and IPv6 default route using the exit interface.</w:t>
      </w:r>
    </w:p>
    <w:p w:rsidR="005500B8" w:rsidRPr="006B4743" w:rsidRDefault="005500B8" w:rsidP="005500B8">
      <w:pPr>
        <w:pStyle w:val="BodyTextL25"/>
        <w:rPr>
          <w:b/>
        </w:rPr>
      </w:pPr>
      <w:r w:rsidRPr="006B4743">
        <w:rPr>
          <w:b/>
        </w:rPr>
        <w:t>OSPF Routing</w:t>
      </w:r>
    </w:p>
    <w:p w:rsidR="00545938" w:rsidRDefault="005500B8" w:rsidP="00545938">
      <w:pPr>
        <w:pStyle w:val="Bulletlevel1"/>
      </w:pPr>
      <w:r>
        <w:t>Configure OSPFv2</w:t>
      </w:r>
      <w:r w:rsidR="00DD06F0">
        <w:t xml:space="preserve"> area 0</w:t>
      </w:r>
      <w:r>
        <w:t xml:space="preserve"> on </w:t>
      </w:r>
      <w:r w:rsidRPr="005500B8">
        <w:rPr>
          <w:b/>
        </w:rPr>
        <w:t>R1</w:t>
      </w:r>
      <w:r w:rsidR="00E06E36">
        <w:t>.</w:t>
      </w:r>
    </w:p>
    <w:p w:rsidR="00545938" w:rsidRDefault="005500B8" w:rsidP="00545938">
      <w:pPr>
        <w:pStyle w:val="Bulletlevel2"/>
      </w:pPr>
      <w:r>
        <w:t>Use process ID 1.</w:t>
      </w:r>
    </w:p>
    <w:p w:rsidR="00545938" w:rsidRDefault="00545938" w:rsidP="00545938">
      <w:pPr>
        <w:pStyle w:val="Bulletlevel2"/>
      </w:pPr>
      <w:r>
        <w:t>Advertise directly connected networks.</w:t>
      </w:r>
      <w:r w:rsidR="005500B8">
        <w:t xml:space="preserve"> Do not include the link to the Internet.</w:t>
      </w:r>
    </w:p>
    <w:p w:rsidR="00545938" w:rsidRDefault="00545938" w:rsidP="00545938">
      <w:pPr>
        <w:pStyle w:val="Bulletlevel2"/>
      </w:pPr>
      <w:r>
        <w:t>Prevent routing updates from being sent across the LAN interfaces.</w:t>
      </w:r>
    </w:p>
    <w:p w:rsidR="007F14FD" w:rsidRDefault="005500B8" w:rsidP="007F14FD">
      <w:pPr>
        <w:pStyle w:val="Bulletlevel2"/>
      </w:pPr>
      <w:r>
        <w:t>Propagate the default route</w:t>
      </w:r>
      <w:r w:rsidR="00545938">
        <w:t>.</w:t>
      </w:r>
    </w:p>
    <w:p w:rsidR="00545938" w:rsidRDefault="00545938" w:rsidP="00545938">
      <w:pPr>
        <w:pStyle w:val="Bulletlevel1"/>
      </w:pPr>
      <w:r>
        <w:t>Configure OSPF</w:t>
      </w:r>
      <w:r w:rsidR="005500B8">
        <w:t>v3</w:t>
      </w:r>
      <w:r>
        <w:t xml:space="preserve"> </w:t>
      </w:r>
      <w:r w:rsidR="00DD06F0">
        <w:t xml:space="preserve">area 0 </w:t>
      </w:r>
      <w:r w:rsidR="005500B8">
        <w:t xml:space="preserve">on </w:t>
      </w:r>
      <w:r w:rsidR="005500B8">
        <w:rPr>
          <w:b/>
        </w:rPr>
        <w:t>R1</w:t>
      </w:r>
      <w:r w:rsidR="00E06E36">
        <w:t>.</w:t>
      </w:r>
    </w:p>
    <w:p w:rsidR="00545938" w:rsidRDefault="006B4743" w:rsidP="005024A8">
      <w:pPr>
        <w:pStyle w:val="Bulletlevel2"/>
      </w:pPr>
      <w:r>
        <w:t xml:space="preserve">Use </w:t>
      </w:r>
      <w:r w:rsidR="00545938">
        <w:t>process</w:t>
      </w:r>
      <w:r>
        <w:t xml:space="preserve"> ID</w:t>
      </w:r>
      <w:r w:rsidR="00545938">
        <w:t xml:space="preserve"> 1.</w:t>
      </w:r>
    </w:p>
    <w:p w:rsidR="00545938" w:rsidRDefault="00545938" w:rsidP="005024A8">
      <w:pPr>
        <w:pStyle w:val="Bulletlevel2"/>
      </w:pPr>
      <w:r>
        <w:t xml:space="preserve">Assign </w:t>
      </w:r>
      <w:r w:rsidR="005500B8">
        <w:t>1.1.1.1 as the router ID.</w:t>
      </w:r>
    </w:p>
    <w:p w:rsidR="00EB0C74" w:rsidRDefault="00EB0C74" w:rsidP="005024A8">
      <w:pPr>
        <w:pStyle w:val="Bulletlevel2"/>
      </w:pPr>
      <w:r>
        <w:t>Prevent routing updates from being sent across the LAN interfaces.</w:t>
      </w:r>
    </w:p>
    <w:p w:rsidR="006B4743" w:rsidRDefault="006B4743" w:rsidP="00916977">
      <w:pPr>
        <w:pStyle w:val="Bulletlevel2"/>
      </w:pPr>
      <w:r>
        <w:t>Complete any required OSPFv3 or IPv6 routing configurations.</w:t>
      </w:r>
    </w:p>
    <w:p w:rsidR="006B4743" w:rsidRPr="006B4743" w:rsidRDefault="006B4743" w:rsidP="006B4743">
      <w:pPr>
        <w:pStyle w:val="Bulletlevel1"/>
        <w:numPr>
          <w:ilvl w:val="0"/>
          <w:numId w:val="0"/>
        </w:numPr>
        <w:ind w:left="360"/>
        <w:rPr>
          <w:b/>
        </w:rPr>
      </w:pPr>
      <w:r w:rsidRPr="006B4743">
        <w:rPr>
          <w:b/>
        </w:rPr>
        <w:t>Verify Connectivity</w:t>
      </w:r>
    </w:p>
    <w:p w:rsidR="00FA5C6E" w:rsidRDefault="007F14FD" w:rsidP="00E276D2">
      <w:pPr>
        <w:pStyle w:val="Bulletlevel1"/>
      </w:pPr>
      <w:r>
        <w:t>Configure</w:t>
      </w:r>
      <w:r w:rsidR="00545938">
        <w:t xml:space="preserve"> </w:t>
      </w:r>
      <w:r w:rsidR="00545938" w:rsidRPr="007F14FD">
        <w:rPr>
          <w:b/>
        </w:rPr>
        <w:t>PC</w:t>
      </w:r>
      <w:r>
        <w:rPr>
          <w:b/>
        </w:rPr>
        <w:t>5</w:t>
      </w:r>
      <w:r w:rsidRPr="007F14FD">
        <w:t xml:space="preserve"> and </w:t>
      </w:r>
      <w:r>
        <w:rPr>
          <w:b/>
        </w:rPr>
        <w:t>PC6</w:t>
      </w:r>
      <w:r w:rsidR="00545938">
        <w:t xml:space="preserve"> to use DHCP for IPv4 and </w:t>
      </w:r>
      <w:proofErr w:type="spellStart"/>
      <w:r w:rsidR="00545938">
        <w:t>Autoconfig</w:t>
      </w:r>
      <w:proofErr w:type="spellEnd"/>
      <w:r w:rsidR="00545938">
        <w:t xml:space="preserve"> for IPv6.</w:t>
      </w:r>
    </w:p>
    <w:p w:rsidR="003E14B0" w:rsidRPr="00916977" w:rsidRDefault="005024A8" w:rsidP="003E14B0">
      <w:pPr>
        <w:pStyle w:val="Bulletlevel1"/>
        <w:rPr>
          <w:rStyle w:val="DevConfigGray"/>
          <w:rFonts w:ascii="Arial" w:hAnsi="Arial"/>
          <w:shd w:val="clear" w:color="auto" w:fill="auto"/>
        </w:rPr>
      </w:pPr>
      <w:r>
        <w:t xml:space="preserve">Verify web access to </w:t>
      </w:r>
      <w:r w:rsidR="006B4743">
        <w:rPr>
          <w:b/>
        </w:rPr>
        <w:t>I</w:t>
      </w:r>
      <w:r w:rsidRPr="00DC2CF6">
        <w:rPr>
          <w:b/>
        </w:rPr>
        <w:t>nternet.pka</w:t>
      </w:r>
      <w:r w:rsidR="00B51E90">
        <w:t xml:space="preserve"> </w:t>
      </w:r>
      <w:r w:rsidR="00DC2CF6">
        <w:t xml:space="preserve">and </w:t>
      </w:r>
      <w:r w:rsidR="006B4743">
        <w:rPr>
          <w:b/>
        </w:rPr>
        <w:t>I</w:t>
      </w:r>
      <w:r w:rsidR="00DC2CF6" w:rsidRPr="00DC2CF6">
        <w:rPr>
          <w:b/>
        </w:rPr>
        <w:t>ntranet.pka</w:t>
      </w:r>
      <w:r w:rsidR="006B4743">
        <w:t xml:space="preserve"> from each six PCs</w:t>
      </w:r>
      <w:r>
        <w:t>.</w:t>
      </w:r>
      <w:r w:rsidR="006B4743">
        <w:t xml:space="preserve"> Be sure to test both IPv4 and IPv6. Pings are not forwarded from PC5 and PC6 to </w:t>
      </w:r>
      <w:r w:rsidR="006B4743" w:rsidRPr="006B4743">
        <w:rPr>
          <w:b/>
        </w:rPr>
        <w:t>Intranet.pka</w:t>
      </w:r>
      <w:r w:rsidR="006B4743">
        <w:t>.</w:t>
      </w:r>
      <w:bookmarkStart w:id="0" w:name="_GoBack"/>
      <w:bookmarkEnd w:id="0"/>
    </w:p>
    <w:sectPr w:rsidR="003E14B0" w:rsidRPr="0091697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ED" w:rsidRDefault="00CB4CED" w:rsidP="0090659A">
      <w:pPr>
        <w:spacing w:after="0" w:line="240" w:lineRule="auto"/>
      </w:pPr>
      <w:r>
        <w:separator/>
      </w:r>
    </w:p>
    <w:p w:rsidR="00CB4CED" w:rsidRDefault="00CB4CED"/>
    <w:p w:rsidR="00CB4CED" w:rsidRDefault="00CB4CED"/>
    <w:p w:rsidR="00CB4CED" w:rsidRDefault="00CB4CED"/>
    <w:p w:rsidR="00CB4CED" w:rsidRDefault="00CB4CED"/>
  </w:endnote>
  <w:endnote w:type="continuationSeparator" w:id="0">
    <w:p w:rsidR="00CB4CED" w:rsidRDefault="00CB4CED" w:rsidP="0090659A">
      <w:pPr>
        <w:spacing w:after="0" w:line="240" w:lineRule="auto"/>
      </w:pPr>
      <w:r>
        <w:continuationSeparator/>
      </w:r>
    </w:p>
    <w:p w:rsidR="00CB4CED" w:rsidRDefault="00CB4CED"/>
    <w:p w:rsidR="00CB4CED" w:rsidRDefault="00CB4CED"/>
    <w:p w:rsidR="00CB4CED" w:rsidRDefault="00CB4CED"/>
    <w:p w:rsidR="00CB4CED" w:rsidRDefault="00CB4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F12" w:rsidRDefault="00A70F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C5" w:rsidRPr="0090659A" w:rsidRDefault="006C6AC5"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E6E69" w:rsidRPr="0090659A">
      <w:rPr>
        <w:b/>
        <w:szCs w:val="16"/>
      </w:rPr>
      <w:fldChar w:fldCharType="begin"/>
    </w:r>
    <w:r w:rsidRPr="0090659A">
      <w:rPr>
        <w:b/>
        <w:szCs w:val="16"/>
      </w:rPr>
      <w:instrText xml:space="preserve"> PAGE </w:instrText>
    </w:r>
    <w:r w:rsidR="003E6E69" w:rsidRPr="0090659A">
      <w:rPr>
        <w:b/>
        <w:szCs w:val="16"/>
      </w:rPr>
      <w:fldChar w:fldCharType="separate"/>
    </w:r>
    <w:r w:rsidR="00916977">
      <w:rPr>
        <w:b/>
        <w:noProof/>
        <w:szCs w:val="16"/>
      </w:rPr>
      <w:t>2</w:t>
    </w:r>
    <w:r w:rsidR="003E6E69" w:rsidRPr="0090659A">
      <w:rPr>
        <w:b/>
        <w:szCs w:val="16"/>
      </w:rPr>
      <w:fldChar w:fldCharType="end"/>
    </w:r>
    <w:r w:rsidRPr="0090659A">
      <w:rPr>
        <w:szCs w:val="16"/>
      </w:rPr>
      <w:t xml:space="preserve"> of </w:t>
    </w:r>
    <w:r w:rsidR="003E6E69" w:rsidRPr="0090659A">
      <w:rPr>
        <w:b/>
        <w:szCs w:val="16"/>
      </w:rPr>
      <w:fldChar w:fldCharType="begin"/>
    </w:r>
    <w:r w:rsidRPr="0090659A">
      <w:rPr>
        <w:b/>
        <w:szCs w:val="16"/>
      </w:rPr>
      <w:instrText xml:space="preserve"> NUMPAGES  </w:instrText>
    </w:r>
    <w:r w:rsidR="003E6E69" w:rsidRPr="0090659A">
      <w:rPr>
        <w:b/>
        <w:szCs w:val="16"/>
      </w:rPr>
      <w:fldChar w:fldCharType="separate"/>
    </w:r>
    <w:r w:rsidR="00916977">
      <w:rPr>
        <w:b/>
        <w:noProof/>
        <w:szCs w:val="16"/>
      </w:rPr>
      <w:t>4</w:t>
    </w:r>
    <w:r w:rsidR="003E6E69"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C5" w:rsidRPr="0090659A" w:rsidRDefault="006C6AC5"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E6E69" w:rsidRPr="0090659A">
      <w:rPr>
        <w:b/>
        <w:szCs w:val="16"/>
      </w:rPr>
      <w:fldChar w:fldCharType="begin"/>
    </w:r>
    <w:r w:rsidRPr="0090659A">
      <w:rPr>
        <w:b/>
        <w:szCs w:val="16"/>
      </w:rPr>
      <w:instrText xml:space="preserve"> PAGE </w:instrText>
    </w:r>
    <w:r w:rsidR="003E6E69" w:rsidRPr="0090659A">
      <w:rPr>
        <w:b/>
        <w:szCs w:val="16"/>
      </w:rPr>
      <w:fldChar w:fldCharType="separate"/>
    </w:r>
    <w:r w:rsidR="00916977">
      <w:rPr>
        <w:b/>
        <w:noProof/>
        <w:szCs w:val="16"/>
      </w:rPr>
      <w:t>1</w:t>
    </w:r>
    <w:r w:rsidR="003E6E69" w:rsidRPr="0090659A">
      <w:rPr>
        <w:b/>
        <w:szCs w:val="16"/>
      </w:rPr>
      <w:fldChar w:fldCharType="end"/>
    </w:r>
    <w:r w:rsidRPr="0090659A">
      <w:rPr>
        <w:szCs w:val="16"/>
      </w:rPr>
      <w:t xml:space="preserve"> of </w:t>
    </w:r>
    <w:r w:rsidR="003E6E69" w:rsidRPr="0090659A">
      <w:rPr>
        <w:b/>
        <w:szCs w:val="16"/>
      </w:rPr>
      <w:fldChar w:fldCharType="begin"/>
    </w:r>
    <w:r w:rsidRPr="0090659A">
      <w:rPr>
        <w:b/>
        <w:szCs w:val="16"/>
      </w:rPr>
      <w:instrText xml:space="preserve"> NUMPAGES  </w:instrText>
    </w:r>
    <w:r w:rsidR="003E6E69" w:rsidRPr="0090659A">
      <w:rPr>
        <w:b/>
        <w:szCs w:val="16"/>
      </w:rPr>
      <w:fldChar w:fldCharType="separate"/>
    </w:r>
    <w:r w:rsidR="00916977">
      <w:rPr>
        <w:b/>
        <w:noProof/>
        <w:szCs w:val="16"/>
      </w:rPr>
      <w:t>4</w:t>
    </w:r>
    <w:r w:rsidR="003E6E6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ED" w:rsidRDefault="00CB4CED" w:rsidP="0090659A">
      <w:pPr>
        <w:spacing w:after="0" w:line="240" w:lineRule="auto"/>
      </w:pPr>
      <w:r>
        <w:separator/>
      </w:r>
    </w:p>
    <w:p w:rsidR="00CB4CED" w:rsidRDefault="00CB4CED"/>
    <w:p w:rsidR="00CB4CED" w:rsidRDefault="00CB4CED"/>
    <w:p w:rsidR="00CB4CED" w:rsidRDefault="00CB4CED"/>
    <w:p w:rsidR="00CB4CED" w:rsidRDefault="00CB4CED"/>
  </w:footnote>
  <w:footnote w:type="continuationSeparator" w:id="0">
    <w:p w:rsidR="00CB4CED" w:rsidRDefault="00CB4CED" w:rsidP="0090659A">
      <w:pPr>
        <w:spacing w:after="0" w:line="240" w:lineRule="auto"/>
      </w:pPr>
      <w:r>
        <w:continuationSeparator/>
      </w:r>
    </w:p>
    <w:p w:rsidR="00CB4CED" w:rsidRDefault="00CB4CED"/>
    <w:p w:rsidR="00CB4CED" w:rsidRDefault="00CB4CED"/>
    <w:p w:rsidR="00CB4CED" w:rsidRDefault="00CB4CED"/>
    <w:p w:rsidR="00CB4CED" w:rsidRDefault="00CB4C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F12" w:rsidRDefault="00A70F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C5" w:rsidRDefault="006C6AC5" w:rsidP="00C52BA6">
    <w:pPr>
      <w:pStyle w:val="PageHead"/>
    </w:pPr>
    <w:r>
      <w:t>Packet Tracer –</w:t>
    </w:r>
    <w:r w:rsidRPr="00FD4A68">
      <w:t xml:space="preserve"> </w:t>
    </w:r>
    <w:r>
      <w:t xml:space="preserve">Skills Integration Challenge </w:t>
    </w:r>
    <w:r w:rsidR="00A70F12">
      <w:t xml:space="preserve">- </w:t>
    </w:r>
    <w:r>
      <w:t>OSPF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C5" w:rsidRDefault="006C6AC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56027"/>
    <w:rsid w:val="00060696"/>
    <w:rsid w:val="00065A47"/>
    <w:rsid w:val="000769CF"/>
    <w:rsid w:val="000815D8"/>
    <w:rsid w:val="00085CC6"/>
    <w:rsid w:val="00090C07"/>
    <w:rsid w:val="00091E8D"/>
    <w:rsid w:val="0009378D"/>
    <w:rsid w:val="00097163"/>
    <w:rsid w:val="000A22C8"/>
    <w:rsid w:val="000B2344"/>
    <w:rsid w:val="000B318F"/>
    <w:rsid w:val="000B688E"/>
    <w:rsid w:val="000B7753"/>
    <w:rsid w:val="000B7DE5"/>
    <w:rsid w:val="000C1EC4"/>
    <w:rsid w:val="000D55B4"/>
    <w:rsid w:val="000E65F0"/>
    <w:rsid w:val="000F072C"/>
    <w:rsid w:val="000F6743"/>
    <w:rsid w:val="00107B2B"/>
    <w:rsid w:val="00112AC5"/>
    <w:rsid w:val="001133DD"/>
    <w:rsid w:val="001207A2"/>
    <w:rsid w:val="00120CBE"/>
    <w:rsid w:val="001277F7"/>
    <w:rsid w:val="001366EC"/>
    <w:rsid w:val="0014219C"/>
    <w:rsid w:val="001425ED"/>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27ED"/>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3DC2"/>
    <w:rsid w:val="002240AB"/>
    <w:rsid w:val="00225E37"/>
    <w:rsid w:val="00242E3A"/>
    <w:rsid w:val="002506CF"/>
    <w:rsid w:val="0025107F"/>
    <w:rsid w:val="0025497C"/>
    <w:rsid w:val="00260CD4"/>
    <w:rsid w:val="00261D5D"/>
    <w:rsid w:val="002639D8"/>
    <w:rsid w:val="00265F77"/>
    <w:rsid w:val="00266C83"/>
    <w:rsid w:val="00270E26"/>
    <w:rsid w:val="002768DC"/>
    <w:rsid w:val="002A6C56"/>
    <w:rsid w:val="002B3FF1"/>
    <w:rsid w:val="002B6DE7"/>
    <w:rsid w:val="002C090C"/>
    <w:rsid w:val="002C1243"/>
    <w:rsid w:val="002C1815"/>
    <w:rsid w:val="002C475E"/>
    <w:rsid w:val="002C6AD6"/>
    <w:rsid w:val="002D6C2A"/>
    <w:rsid w:val="002D7A86"/>
    <w:rsid w:val="002E695A"/>
    <w:rsid w:val="002E7852"/>
    <w:rsid w:val="002F45FF"/>
    <w:rsid w:val="002F6D17"/>
    <w:rsid w:val="00302887"/>
    <w:rsid w:val="003056EB"/>
    <w:rsid w:val="00305FF5"/>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59C6"/>
    <w:rsid w:val="003708EE"/>
    <w:rsid w:val="00371E8A"/>
    <w:rsid w:val="003751E0"/>
    <w:rsid w:val="0038275D"/>
    <w:rsid w:val="00392C65"/>
    <w:rsid w:val="00392ED5"/>
    <w:rsid w:val="003A19DC"/>
    <w:rsid w:val="003A1B45"/>
    <w:rsid w:val="003A278D"/>
    <w:rsid w:val="003B46FC"/>
    <w:rsid w:val="003B5767"/>
    <w:rsid w:val="003B7605"/>
    <w:rsid w:val="003C6BCA"/>
    <w:rsid w:val="003C7902"/>
    <w:rsid w:val="003D0BFF"/>
    <w:rsid w:val="003E14B0"/>
    <w:rsid w:val="003E5BE5"/>
    <w:rsid w:val="003E6E1B"/>
    <w:rsid w:val="003E6E69"/>
    <w:rsid w:val="003F18D1"/>
    <w:rsid w:val="003F4F0E"/>
    <w:rsid w:val="003F6E06"/>
    <w:rsid w:val="00403C7A"/>
    <w:rsid w:val="004057A6"/>
    <w:rsid w:val="00406554"/>
    <w:rsid w:val="004131B0"/>
    <w:rsid w:val="004140C9"/>
    <w:rsid w:val="00416C42"/>
    <w:rsid w:val="00422476"/>
    <w:rsid w:val="0042385C"/>
    <w:rsid w:val="00431654"/>
    <w:rsid w:val="00434926"/>
    <w:rsid w:val="00444217"/>
    <w:rsid w:val="004478F4"/>
    <w:rsid w:val="00450E09"/>
    <w:rsid w:val="00450F7A"/>
    <w:rsid w:val="00452C6D"/>
    <w:rsid w:val="00455E0B"/>
    <w:rsid w:val="00455F73"/>
    <w:rsid w:val="00462978"/>
    <w:rsid w:val="004659EE"/>
    <w:rsid w:val="00472712"/>
    <w:rsid w:val="004936C2"/>
    <w:rsid w:val="0049379C"/>
    <w:rsid w:val="004A1CA0"/>
    <w:rsid w:val="004A22E9"/>
    <w:rsid w:val="004A5BC5"/>
    <w:rsid w:val="004B023D"/>
    <w:rsid w:val="004C0909"/>
    <w:rsid w:val="004C3F97"/>
    <w:rsid w:val="004D3339"/>
    <w:rsid w:val="004D353F"/>
    <w:rsid w:val="004D36D7"/>
    <w:rsid w:val="004D682B"/>
    <w:rsid w:val="004E6152"/>
    <w:rsid w:val="004F2B19"/>
    <w:rsid w:val="004F344A"/>
    <w:rsid w:val="004F386B"/>
    <w:rsid w:val="005024A8"/>
    <w:rsid w:val="00510639"/>
    <w:rsid w:val="00516142"/>
    <w:rsid w:val="00520027"/>
    <w:rsid w:val="0052093C"/>
    <w:rsid w:val="00521B31"/>
    <w:rsid w:val="00522469"/>
    <w:rsid w:val="0052400A"/>
    <w:rsid w:val="00536F43"/>
    <w:rsid w:val="00542D1D"/>
    <w:rsid w:val="00545938"/>
    <w:rsid w:val="005500B8"/>
    <w:rsid w:val="005510BA"/>
    <w:rsid w:val="00554B4E"/>
    <w:rsid w:val="00556C02"/>
    <w:rsid w:val="00563249"/>
    <w:rsid w:val="00570A65"/>
    <w:rsid w:val="00573DE9"/>
    <w:rsid w:val="005762B1"/>
    <w:rsid w:val="00577587"/>
    <w:rsid w:val="00580456"/>
    <w:rsid w:val="00580E73"/>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051D"/>
    <w:rsid w:val="00622D61"/>
    <w:rsid w:val="00624198"/>
    <w:rsid w:val="00630087"/>
    <w:rsid w:val="00630569"/>
    <w:rsid w:val="006428E5"/>
    <w:rsid w:val="00644958"/>
    <w:rsid w:val="00672919"/>
    <w:rsid w:val="00676C92"/>
    <w:rsid w:val="00686587"/>
    <w:rsid w:val="006904CF"/>
    <w:rsid w:val="00695EE2"/>
    <w:rsid w:val="0069660B"/>
    <w:rsid w:val="006A052D"/>
    <w:rsid w:val="006A1B33"/>
    <w:rsid w:val="006A36D8"/>
    <w:rsid w:val="006A48F1"/>
    <w:rsid w:val="006A71A3"/>
    <w:rsid w:val="006B03F2"/>
    <w:rsid w:val="006B1639"/>
    <w:rsid w:val="006B410E"/>
    <w:rsid w:val="006B4743"/>
    <w:rsid w:val="006B5CA7"/>
    <w:rsid w:val="006B5E89"/>
    <w:rsid w:val="006C19B2"/>
    <w:rsid w:val="006C30A0"/>
    <w:rsid w:val="006C35FF"/>
    <w:rsid w:val="006C57F2"/>
    <w:rsid w:val="006C5949"/>
    <w:rsid w:val="006C599B"/>
    <w:rsid w:val="006C6832"/>
    <w:rsid w:val="006C6AC5"/>
    <w:rsid w:val="006D1370"/>
    <w:rsid w:val="006D2C28"/>
    <w:rsid w:val="006D3FC1"/>
    <w:rsid w:val="006E6581"/>
    <w:rsid w:val="006E71DF"/>
    <w:rsid w:val="006F1CC4"/>
    <w:rsid w:val="006F2A86"/>
    <w:rsid w:val="006F3163"/>
    <w:rsid w:val="00705FEC"/>
    <w:rsid w:val="0070773C"/>
    <w:rsid w:val="0071147A"/>
    <w:rsid w:val="0071185D"/>
    <w:rsid w:val="00714FBF"/>
    <w:rsid w:val="007222AD"/>
    <w:rsid w:val="00723D2A"/>
    <w:rsid w:val="007267CF"/>
    <w:rsid w:val="00731F3F"/>
    <w:rsid w:val="00733BAB"/>
    <w:rsid w:val="00735BA3"/>
    <w:rsid w:val="007436BF"/>
    <w:rsid w:val="007443E9"/>
    <w:rsid w:val="00745DCE"/>
    <w:rsid w:val="00753D89"/>
    <w:rsid w:val="00755C9B"/>
    <w:rsid w:val="00760FE4"/>
    <w:rsid w:val="00763D8B"/>
    <w:rsid w:val="00764C66"/>
    <w:rsid w:val="007657F6"/>
    <w:rsid w:val="0077125A"/>
    <w:rsid w:val="00786F58"/>
    <w:rsid w:val="00787CC1"/>
    <w:rsid w:val="00792F4E"/>
    <w:rsid w:val="0079398D"/>
    <w:rsid w:val="00796C25"/>
    <w:rsid w:val="007A287C"/>
    <w:rsid w:val="007A3421"/>
    <w:rsid w:val="007A3B2A"/>
    <w:rsid w:val="007B5522"/>
    <w:rsid w:val="007C0EE0"/>
    <w:rsid w:val="007C15C0"/>
    <w:rsid w:val="007C1B71"/>
    <w:rsid w:val="007C2FBB"/>
    <w:rsid w:val="007C7164"/>
    <w:rsid w:val="007D1984"/>
    <w:rsid w:val="007D2AFE"/>
    <w:rsid w:val="007E3FEA"/>
    <w:rsid w:val="007F0A0B"/>
    <w:rsid w:val="007F14FD"/>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868"/>
    <w:rsid w:val="008B4F20"/>
    <w:rsid w:val="008B7FFD"/>
    <w:rsid w:val="008C2920"/>
    <w:rsid w:val="008C4307"/>
    <w:rsid w:val="008D23DF"/>
    <w:rsid w:val="008D2D4C"/>
    <w:rsid w:val="008D73BF"/>
    <w:rsid w:val="008D7F09"/>
    <w:rsid w:val="008E5B64"/>
    <w:rsid w:val="008E7DAA"/>
    <w:rsid w:val="008F0094"/>
    <w:rsid w:val="008F1F4B"/>
    <w:rsid w:val="008F340F"/>
    <w:rsid w:val="00903523"/>
    <w:rsid w:val="0090659A"/>
    <w:rsid w:val="00915986"/>
    <w:rsid w:val="00916977"/>
    <w:rsid w:val="00917624"/>
    <w:rsid w:val="00930386"/>
    <w:rsid w:val="009309F5"/>
    <w:rsid w:val="00933237"/>
    <w:rsid w:val="00933F28"/>
    <w:rsid w:val="0093666A"/>
    <w:rsid w:val="00937316"/>
    <w:rsid w:val="00943E27"/>
    <w:rsid w:val="009476C0"/>
    <w:rsid w:val="009564A7"/>
    <w:rsid w:val="00960ABE"/>
    <w:rsid w:val="00963E34"/>
    <w:rsid w:val="00964DFA"/>
    <w:rsid w:val="0098155C"/>
    <w:rsid w:val="009821D8"/>
    <w:rsid w:val="00983B77"/>
    <w:rsid w:val="00996053"/>
    <w:rsid w:val="009A0B2F"/>
    <w:rsid w:val="009A1CF4"/>
    <w:rsid w:val="009A30F9"/>
    <w:rsid w:val="009A37D7"/>
    <w:rsid w:val="009A4E17"/>
    <w:rsid w:val="009A6955"/>
    <w:rsid w:val="009B341C"/>
    <w:rsid w:val="009B5747"/>
    <w:rsid w:val="009B68F8"/>
    <w:rsid w:val="009D2C27"/>
    <w:rsid w:val="009E2309"/>
    <w:rsid w:val="009E42B9"/>
    <w:rsid w:val="00A014A3"/>
    <w:rsid w:val="00A0412D"/>
    <w:rsid w:val="00A177BE"/>
    <w:rsid w:val="00A21211"/>
    <w:rsid w:val="00A3003C"/>
    <w:rsid w:val="00A34E7F"/>
    <w:rsid w:val="00A46F0A"/>
    <w:rsid w:val="00A46F25"/>
    <w:rsid w:val="00A47CC2"/>
    <w:rsid w:val="00A60146"/>
    <w:rsid w:val="00A622C4"/>
    <w:rsid w:val="00A70F12"/>
    <w:rsid w:val="00A754B4"/>
    <w:rsid w:val="00A807C1"/>
    <w:rsid w:val="00A83374"/>
    <w:rsid w:val="00A92B7D"/>
    <w:rsid w:val="00A96172"/>
    <w:rsid w:val="00AB0D6A"/>
    <w:rsid w:val="00AB43B3"/>
    <w:rsid w:val="00AB49B9"/>
    <w:rsid w:val="00AB758A"/>
    <w:rsid w:val="00AC1E7E"/>
    <w:rsid w:val="00AC507D"/>
    <w:rsid w:val="00AC66E4"/>
    <w:rsid w:val="00AD4578"/>
    <w:rsid w:val="00AD68E9"/>
    <w:rsid w:val="00AE56C0"/>
    <w:rsid w:val="00AF3021"/>
    <w:rsid w:val="00B00914"/>
    <w:rsid w:val="00B01EA9"/>
    <w:rsid w:val="00B02A8E"/>
    <w:rsid w:val="00B052EE"/>
    <w:rsid w:val="00B1081F"/>
    <w:rsid w:val="00B27499"/>
    <w:rsid w:val="00B3010D"/>
    <w:rsid w:val="00B35151"/>
    <w:rsid w:val="00B433F2"/>
    <w:rsid w:val="00B458E8"/>
    <w:rsid w:val="00B51E90"/>
    <w:rsid w:val="00B5397B"/>
    <w:rsid w:val="00B62809"/>
    <w:rsid w:val="00B7675A"/>
    <w:rsid w:val="00B81898"/>
    <w:rsid w:val="00B8606B"/>
    <w:rsid w:val="00B878E7"/>
    <w:rsid w:val="00B9626A"/>
    <w:rsid w:val="00B97278"/>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683F"/>
    <w:rsid w:val="00C27E37"/>
    <w:rsid w:val="00C32713"/>
    <w:rsid w:val="00C327CF"/>
    <w:rsid w:val="00C351B8"/>
    <w:rsid w:val="00C410D9"/>
    <w:rsid w:val="00C44DB7"/>
    <w:rsid w:val="00C4510A"/>
    <w:rsid w:val="00C47F2E"/>
    <w:rsid w:val="00C52BA6"/>
    <w:rsid w:val="00C57A1A"/>
    <w:rsid w:val="00C6258F"/>
    <w:rsid w:val="00C63DF6"/>
    <w:rsid w:val="00C63E58"/>
    <w:rsid w:val="00C6495E"/>
    <w:rsid w:val="00C670EE"/>
    <w:rsid w:val="00C67E3B"/>
    <w:rsid w:val="00C777FE"/>
    <w:rsid w:val="00C80C90"/>
    <w:rsid w:val="00C80DF2"/>
    <w:rsid w:val="00C90311"/>
    <w:rsid w:val="00C91C26"/>
    <w:rsid w:val="00CA73D5"/>
    <w:rsid w:val="00CB4CED"/>
    <w:rsid w:val="00CC017B"/>
    <w:rsid w:val="00CC1C87"/>
    <w:rsid w:val="00CC3000"/>
    <w:rsid w:val="00CC4859"/>
    <w:rsid w:val="00CC6B9A"/>
    <w:rsid w:val="00CC7A35"/>
    <w:rsid w:val="00CD072A"/>
    <w:rsid w:val="00CD61CA"/>
    <w:rsid w:val="00CD7F73"/>
    <w:rsid w:val="00CE2640"/>
    <w:rsid w:val="00CE26C5"/>
    <w:rsid w:val="00CE36AF"/>
    <w:rsid w:val="00CE54DD"/>
    <w:rsid w:val="00CF0DA5"/>
    <w:rsid w:val="00CF791A"/>
    <w:rsid w:val="00D00D7D"/>
    <w:rsid w:val="00D139C8"/>
    <w:rsid w:val="00D176C1"/>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2CF6"/>
    <w:rsid w:val="00DC6050"/>
    <w:rsid w:val="00DD06F0"/>
    <w:rsid w:val="00DE6F44"/>
    <w:rsid w:val="00E037D9"/>
    <w:rsid w:val="00E06E36"/>
    <w:rsid w:val="00E130EB"/>
    <w:rsid w:val="00E162CD"/>
    <w:rsid w:val="00E17FA5"/>
    <w:rsid w:val="00E26930"/>
    <w:rsid w:val="00E27257"/>
    <w:rsid w:val="00E276D2"/>
    <w:rsid w:val="00E37032"/>
    <w:rsid w:val="00E449D0"/>
    <w:rsid w:val="00E4506A"/>
    <w:rsid w:val="00E53F99"/>
    <w:rsid w:val="00E56510"/>
    <w:rsid w:val="00E60587"/>
    <w:rsid w:val="00E62EA8"/>
    <w:rsid w:val="00E67A6E"/>
    <w:rsid w:val="00E71B43"/>
    <w:rsid w:val="00E81612"/>
    <w:rsid w:val="00E87D18"/>
    <w:rsid w:val="00E87D62"/>
    <w:rsid w:val="00EA486E"/>
    <w:rsid w:val="00EA4FA3"/>
    <w:rsid w:val="00EB001B"/>
    <w:rsid w:val="00EB0C74"/>
    <w:rsid w:val="00EB6C33"/>
    <w:rsid w:val="00EB717A"/>
    <w:rsid w:val="00ED6019"/>
    <w:rsid w:val="00ED7830"/>
    <w:rsid w:val="00EE3909"/>
    <w:rsid w:val="00EF30CB"/>
    <w:rsid w:val="00EF4205"/>
    <w:rsid w:val="00EF4623"/>
    <w:rsid w:val="00EF5939"/>
    <w:rsid w:val="00EF7436"/>
    <w:rsid w:val="00F01714"/>
    <w:rsid w:val="00F0258F"/>
    <w:rsid w:val="00F02D06"/>
    <w:rsid w:val="00F06FDD"/>
    <w:rsid w:val="00F10819"/>
    <w:rsid w:val="00F1083E"/>
    <w:rsid w:val="00F16F35"/>
    <w:rsid w:val="00F21027"/>
    <w:rsid w:val="00F2229D"/>
    <w:rsid w:val="00F25ABB"/>
    <w:rsid w:val="00F27963"/>
    <w:rsid w:val="00F30446"/>
    <w:rsid w:val="00F4135D"/>
    <w:rsid w:val="00F41F1B"/>
    <w:rsid w:val="00F46BD9"/>
    <w:rsid w:val="00F60BE0"/>
    <w:rsid w:val="00F6280E"/>
    <w:rsid w:val="00F7050A"/>
    <w:rsid w:val="00F75533"/>
    <w:rsid w:val="00F9329F"/>
    <w:rsid w:val="00FA3811"/>
    <w:rsid w:val="00FA3B9F"/>
    <w:rsid w:val="00FA3F06"/>
    <w:rsid w:val="00FA4A26"/>
    <w:rsid w:val="00FA5C6E"/>
    <w:rsid w:val="00FA7084"/>
    <w:rsid w:val="00FA7BEF"/>
    <w:rsid w:val="00FB1929"/>
    <w:rsid w:val="00FB353D"/>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2">
    <w:name w:val="Body Text2"/>
    <w:basedOn w:val="Normal"/>
    <w:qFormat/>
    <w:rsid w:val="0093666A"/>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2">
    <w:name w:val="Body Text2"/>
    <w:basedOn w:val="Normal"/>
    <w:qFormat/>
    <w:rsid w:val="0093666A"/>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3734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D9323F-5D4E-4B37-8522-E108CB1F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dcterms:created xsi:type="dcterms:W3CDTF">2013-10-22T21:37:00Z</dcterms:created>
  <dcterms:modified xsi:type="dcterms:W3CDTF">2013-10-22T21:39:00Z</dcterms:modified>
</cp:coreProperties>
</file>