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494E8D">
      <w:pPr>
        <w:pStyle w:val="LabTitle"/>
      </w:pPr>
      <w:r>
        <w:t>Packet Tracer –</w:t>
      </w:r>
      <w:r w:rsidR="002D6C2A" w:rsidRPr="00FD4A68">
        <w:t xml:space="preserve"> </w:t>
      </w:r>
      <w:r w:rsidR="00886957">
        <w:t>Troubleshooting Serial Interfaces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3B7B3E" w:rsidP="008C4307">
      <w:pPr>
        <w:pStyle w:val="Visual"/>
      </w:pPr>
      <w:r>
        <w:rPr>
          <w:noProof/>
        </w:rPr>
        <w:drawing>
          <wp:inline distT="0" distB="0" distL="0" distR="0" wp14:anchorId="24DC7A88" wp14:editId="39557A10">
            <wp:extent cx="5086065" cy="2457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204" cy="24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40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844"/>
        <w:gridCol w:w="1672"/>
        <w:gridCol w:w="1760"/>
        <w:gridCol w:w="1866"/>
      </w:tblGrid>
      <w:tr w:rsidR="00491456" w:rsidTr="0049145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1456" w:rsidRPr="00E87D62" w:rsidRDefault="0049145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8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1456" w:rsidRPr="00E87D62" w:rsidRDefault="0049145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1456" w:rsidRPr="00E87D62" w:rsidRDefault="0049145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7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1456" w:rsidRPr="00E87D62" w:rsidRDefault="0049145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91456" w:rsidRPr="00E87D62" w:rsidRDefault="00491456" w:rsidP="00491456">
            <w:pPr>
              <w:pStyle w:val="TableHeading"/>
            </w:pPr>
            <w:r>
              <w:t>Default Route</w:t>
            </w:r>
          </w:p>
        </w:tc>
      </w:tr>
      <w:tr w:rsidR="00271B59" w:rsidTr="00271B59">
        <w:trPr>
          <w:cantSplit/>
          <w:jc w:val="center"/>
        </w:trPr>
        <w:tc>
          <w:tcPr>
            <w:tcW w:w="1260" w:type="dxa"/>
            <w:vMerge w:val="restart"/>
            <w:vAlign w:val="center"/>
          </w:tcPr>
          <w:p w:rsidR="00271B59" w:rsidRPr="00E87D62" w:rsidRDefault="00271B59" w:rsidP="00271B59">
            <w:pPr>
              <w:pStyle w:val="TableText"/>
            </w:pPr>
            <w:r>
              <w:t>Telco</w:t>
            </w:r>
          </w:p>
        </w:tc>
        <w:tc>
          <w:tcPr>
            <w:tcW w:w="1844" w:type="dxa"/>
            <w:vAlign w:val="bottom"/>
          </w:tcPr>
          <w:p w:rsidR="00271B59" w:rsidRDefault="00271B59" w:rsidP="006B1639">
            <w:pPr>
              <w:pStyle w:val="TableText"/>
            </w:pPr>
            <w:r w:rsidRPr="00E87D62">
              <w:t>S0/0/0 (DCE)</w:t>
            </w:r>
          </w:p>
        </w:tc>
        <w:tc>
          <w:tcPr>
            <w:tcW w:w="1672" w:type="dxa"/>
            <w:vAlign w:val="bottom"/>
          </w:tcPr>
          <w:p w:rsidR="00271B59" w:rsidRPr="00E87D62" w:rsidRDefault="00271B59" w:rsidP="00E87D62">
            <w:pPr>
              <w:pStyle w:val="TableText"/>
            </w:pPr>
            <w:r>
              <w:t>64.100.34.17</w:t>
            </w:r>
          </w:p>
        </w:tc>
        <w:tc>
          <w:tcPr>
            <w:tcW w:w="1760" w:type="dxa"/>
            <w:vAlign w:val="bottom"/>
          </w:tcPr>
          <w:p w:rsidR="00271B59" w:rsidRPr="00E87D62" w:rsidRDefault="00271B59" w:rsidP="00E54ED6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271B59" w:rsidRPr="00E87D62" w:rsidRDefault="00271B59" w:rsidP="00E87D62">
            <w:pPr>
              <w:pStyle w:val="TableText"/>
            </w:pPr>
            <w:r w:rsidRPr="00E87D62">
              <w:t>N/A</w:t>
            </w:r>
          </w:p>
        </w:tc>
        <w:bookmarkStart w:id="0" w:name="_GoBack"/>
        <w:bookmarkEnd w:id="0"/>
      </w:tr>
      <w:tr w:rsidR="00271B59" w:rsidTr="00491456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271B59" w:rsidRPr="00E87D62" w:rsidRDefault="00271B59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271B59" w:rsidRDefault="00271B59" w:rsidP="006B1639">
            <w:pPr>
              <w:pStyle w:val="TableText"/>
            </w:pPr>
            <w:r>
              <w:t>S0/0/1</w:t>
            </w:r>
            <w:r w:rsidRPr="00E87D62">
              <w:t xml:space="preserve"> (DCE)</w:t>
            </w:r>
          </w:p>
        </w:tc>
        <w:tc>
          <w:tcPr>
            <w:tcW w:w="1672" w:type="dxa"/>
            <w:vAlign w:val="bottom"/>
          </w:tcPr>
          <w:p w:rsidR="00271B59" w:rsidRPr="00E87D62" w:rsidRDefault="00271B59" w:rsidP="00E87D62">
            <w:pPr>
              <w:pStyle w:val="TableText"/>
            </w:pPr>
            <w:r>
              <w:t>64.100.34.21</w:t>
            </w:r>
          </w:p>
        </w:tc>
        <w:tc>
          <w:tcPr>
            <w:tcW w:w="1760" w:type="dxa"/>
            <w:vAlign w:val="bottom"/>
          </w:tcPr>
          <w:p w:rsidR="00271B59" w:rsidRPr="00E87D62" w:rsidRDefault="00271B59" w:rsidP="00E54ED6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271B59" w:rsidRPr="00E87D62" w:rsidRDefault="00271B59" w:rsidP="00E87D62">
            <w:pPr>
              <w:pStyle w:val="TableText"/>
            </w:pPr>
            <w:r w:rsidRPr="00E87D62">
              <w:t>N/A</w:t>
            </w:r>
          </w:p>
        </w:tc>
      </w:tr>
      <w:tr w:rsidR="00271B59" w:rsidTr="00491456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271B59" w:rsidRPr="00E87D62" w:rsidRDefault="00271B59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271B59" w:rsidRDefault="00271B59" w:rsidP="006B1639">
            <w:pPr>
              <w:pStyle w:val="TableText"/>
            </w:pPr>
            <w:r>
              <w:t>S0/1</w:t>
            </w:r>
            <w:r w:rsidRPr="00E87D62">
              <w:t>/0 (DCE)</w:t>
            </w:r>
          </w:p>
        </w:tc>
        <w:tc>
          <w:tcPr>
            <w:tcW w:w="1672" w:type="dxa"/>
            <w:vAlign w:val="bottom"/>
          </w:tcPr>
          <w:p w:rsidR="00271B59" w:rsidRPr="00E87D62" w:rsidRDefault="00271B59" w:rsidP="00E87D62">
            <w:pPr>
              <w:pStyle w:val="TableText"/>
            </w:pPr>
            <w:r>
              <w:t>64.100.34.25</w:t>
            </w:r>
          </w:p>
        </w:tc>
        <w:tc>
          <w:tcPr>
            <w:tcW w:w="1760" w:type="dxa"/>
            <w:vAlign w:val="bottom"/>
          </w:tcPr>
          <w:p w:rsidR="00271B59" w:rsidRPr="00E87D62" w:rsidRDefault="00271B59" w:rsidP="00E54ED6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271B59" w:rsidRPr="00E87D62" w:rsidRDefault="00271B59" w:rsidP="00E87D62">
            <w:pPr>
              <w:pStyle w:val="TableText"/>
            </w:pPr>
            <w:r w:rsidRPr="00E87D62">
              <w:t>N/A</w:t>
            </w:r>
          </w:p>
        </w:tc>
      </w:tr>
      <w:tr w:rsidR="00271B59" w:rsidTr="00491456">
        <w:trPr>
          <w:cantSplit/>
          <w:jc w:val="center"/>
        </w:trPr>
        <w:tc>
          <w:tcPr>
            <w:tcW w:w="1260" w:type="dxa"/>
            <w:vMerge/>
            <w:vAlign w:val="bottom"/>
          </w:tcPr>
          <w:p w:rsidR="00271B59" w:rsidRPr="00E87D62" w:rsidRDefault="00271B59" w:rsidP="00E87D62">
            <w:pPr>
              <w:pStyle w:val="TableText"/>
            </w:pPr>
          </w:p>
        </w:tc>
        <w:tc>
          <w:tcPr>
            <w:tcW w:w="1844" w:type="dxa"/>
            <w:vAlign w:val="bottom"/>
          </w:tcPr>
          <w:p w:rsidR="00271B59" w:rsidRDefault="00271B59" w:rsidP="006B1639">
            <w:pPr>
              <w:pStyle w:val="TableText"/>
            </w:pPr>
            <w:r>
              <w:t>S0/1/1</w:t>
            </w:r>
            <w:r w:rsidRPr="00E87D62">
              <w:t xml:space="preserve"> (DCE)</w:t>
            </w:r>
          </w:p>
        </w:tc>
        <w:tc>
          <w:tcPr>
            <w:tcW w:w="1672" w:type="dxa"/>
            <w:vAlign w:val="bottom"/>
          </w:tcPr>
          <w:p w:rsidR="00271B59" w:rsidRPr="00E87D62" w:rsidRDefault="00271B59" w:rsidP="00E87D62">
            <w:pPr>
              <w:pStyle w:val="TableText"/>
            </w:pPr>
            <w:r>
              <w:t>64.100.34.29</w:t>
            </w:r>
          </w:p>
        </w:tc>
        <w:tc>
          <w:tcPr>
            <w:tcW w:w="1760" w:type="dxa"/>
            <w:vAlign w:val="bottom"/>
          </w:tcPr>
          <w:p w:rsidR="00271B59" w:rsidRPr="00E87D62" w:rsidRDefault="00271B59" w:rsidP="00E54ED6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271B59" w:rsidRPr="00E87D62" w:rsidRDefault="00271B59" w:rsidP="00E87D62">
            <w:pPr>
              <w:pStyle w:val="TableText"/>
            </w:pPr>
            <w:r w:rsidRPr="00E87D62">
              <w:t>N/A</w:t>
            </w:r>
          </w:p>
        </w:tc>
      </w:tr>
      <w:tr w:rsidR="00491456" w:rsidTr="00491456">
        <w:trPr>
          <w:cantSplit/>
          <w:jc w:val="center"/>
        </w:trPr>
        <w:tc>
          <w:tcPr>
            <w:tcW w:w="1260" w:type="dxa"/>
            <w:vAlign w:val="bottom"/>
          </w:tcPr>
          <w:p w:rsidR="00491456" w:rsidRPr="00E87D62" w:rsidRDefault="00491456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844" w:type="dxa"/>
            <w:vAlign w:val="bottom"/>
          </w:tcPr>
          <w:p w:rsidR="00491456" w:rsidRPr="00E87D62" w:rsidRDefault="00491456" w:rsidP="006B1639">
            <w:pPr>
              <w:pStyle w:val="TableText"/>
            </w:pPr>
            <w:r>
              <w:t>S0/0/0</w:t>
            </w:r>
          </w:p>
        </w:tc>
        <w:tc>
          <w:tcPr>
            <w:tcW w:w="1672" w:type="dxa"/>
            <w:vAlign w:val="bottom"/>
          </w:tcPr>
          <w:p w:rsidR="00491456" w:rsidRPr="00E87D62" w:rsidRDefault="00491456" w:rsidP="00E54ED6">
            <w:pPr>
              <w:pStyle w:val="TableText"/>
            </w:pPr>
            <w:r>
              <w:t>64.100.34.18</w:t>
            </w:r>
          </w:p>
        </w:tc>
        <w:tc>
          <w:tcPr>
            <w:tcW w:w="1760" w:type="dxa"/>
            <w:vAlign w:val="bottom"/>
          </w:tcPr>
          <w:p w:rsidR="00491456" w:rsidRPr="00E87D62" w:rsidRDefault="00491456" w:rsidP="00E54ED6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491456" w:rsidRPr="00E87D62" w:rsidRDefault="00491456" w:rsidP="00E54ED6">
            <w:pPr>
              <w:pStyle w:val="TableText"/>
            </w:pPr>
            <w:r>
              <w:t>64.100.34.17</w:t>
            </w:r>
          </w:p>
        </w:tc>
      </w:tr>
      <w:tr w:rsidR="00491456" w:rsidTr="00491456">
        <w:trPr>
          <w:cantSplit/>
          <w:jc w:val="center"/>
        </w:trPr>
        <w:tc>
          <w:tcPr>
            <w:tcW w:w="1260" w:type="dxa"/>
            <w:vAlign w:val="bottom"/>
          </w:tcPr>
          <w:p w:rsidR="00491456" w:rsidRPr="00E87D62" w:rsidRDefault="00491456" w:rsidP="00E87D62">
            <w:pPr>
              <w:pStyle w:val="TableText"/>
            </w:pPr>
            <w:r w:rsidRPr="00E87D62">
              <w:t>R2</w:t>
            </w:r>
          </w:p>
        </w:tc>
        <w:tc>
          <w:tcPr>
            <w:tcW w:w="1844" w:type="dxa"/>
            <w:vAlign w:val="bottom"/>
          </w:tcPr>
          <w:p w:rsidR="00491456" w:rsidRPr="00E87D62" w:rsidRDefault="00491456" w:rsidP="00E87D62">
            <w:pPr>
              <w:pStyle w:val="TableText"/>
            </w:pPr>
            <w:r>
              <w:t>S0/0/1</w:t>
            </w:r>
          </w:p>
        </w:tc>
        <w:tc>
          <w:tcPr>
            <w:tcW w:w="1672" w:type="dxa"/>
            <w:vAlign w:val="bottom"/>
          </w:tcPr>
          <w:p w:rsidR="00491456" w:rsidRPr="00E87D62" w:rsidRDefault="00491456" w:rsidP="00E54ED6">
            <w:pPr>
              <w:pStyle w:val="TableText"/>
            </w:pPr>
            <w:r>
              <w:t>64.100.34.22</w:t>
            </w:r>
          </w:p>
        </w:tc>
        <w:tc>
          <w:tcPr>
            <w:tcW w:w="1760" w:type="dxa"/>
            <w:vAlign w:val="bottom"/>
          </w:tcPr>
          <w:p w:rsidR="00491456" w:rsidRPr="00E87D62" w:rsidRDefault="00491456" w:rsidP="00E54ED6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491456" w:rsidRPr="00E87D62" w:rsidRDefault="00491456" w:rsidP="00E54ED6">
            <w:pPr>
              <w:pStyle w:val="TableText"/>
            </w:pPr>
            <w:r>
              <w:t>64.100.34.21</w:t>
            </w:r>
          </w:p>
        </w:tc>
      </w:tr>
      <w:tr w:rsidR="00491456" w:rsidTr="00491456">
        <w:trPr>
          <w:cantSplit/>
          <w:jc w:val="center"/>
        </w:trPr>
        <w:tc>
          <w:tcPr>
            <w:tcW w:w="1260" w:type="dxa"/>
            <w:vAlign w:val="bottom"/>
          </w:tcPr>
          <w:p w:rsidR="00491456" w:rsidRPr="00E87D62" w:rsidRDefault="00491456" w:rsidP="00E87D62">
            <w:pPr>
              <w:pStyle w:val="TableText"/>
            </w:pPr>
            <w:r w:rsidRPr="00E87D62">
              <w:t>R3</w:t>
            </w:r>
          </w:p>
        </w:tc>
        <w:tc>
          <w:tcPr>
            <w:tcW w:w="1844" w:type="dxa"/>
            <w:vAlign w:val="bottom"/>
          </w:tcPr>
          <w:p w:rsidR="00491456" w:rsidRPr="00E87D62" w:rsidRDefault="003676E9" w:rsidP="006B1639">
            <w:pPr>
              <w:pStyle w:val="TableText"/>
            </w:pPr>
            <w:r>
              <w:t>S0/0</w:t>
            </w:r>
            <w:r w:rsidR="00491456">
              <w:t>/0</w:t>
            </w:r>
          </w:p>
        </w:tc>
        <w:tc>
          <w:tcPr>
            <w:tcW w:w="1672" w:type="dxa"/>
            <w:vAlign w:val="bottom"/>
          </w:tcPr>
          <w:p w:rsidR="00491456" w:rsidRPr="00E87D62" w:rsidRDefault="00491456" w:rsidP="00E54ED6">
            <w:pPr>
              <w:pStyle w:val="TableText"/>
            </w:pPr>
            <w:r>
              <w:t>64.100.34.26</w:t>
            </w:r>
          </w:p>
        </w:tc>
        <w:tc>
          <w:tcPr>
            <w:tcW w:w="1760" w:type="dxa"/>
            <w:vAlign w:val="bottom"/>
          </w:tcPr>
          <w:p w:rsidR="00491456" w:rsidRPr="00E87D62" w:rsidRDefault="00491456" w:rsidP="00E54ED6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491456" w:rsidRPr="00E87D62" w:rsidRDefault="00491456" w:rsidP="00E54ED6">
            <w:pPr>
              <w:pStyle w:val="TableText"/>
            </w:pPr>
            <w:r>
              <w:t>64.100.34.25</w:t>
            </w:r>
          </w:p>
        </w:tc>
      </w:tr>
      <w:tr w:rsidR="00491456" w:rsidTr="00491456">
        <w:trPr>
          <w:cantSplit/>
          <w:jc w:val="center"/>
        </w:trPr>
        <w:tc>
          <w:tcPr>
            <w:tcW w:w="1260" w:type="dxa"/>
            <w:vAlign w:val="bottom"/>
          </w:tcPr>
          <w:p w:rsidR="00491456" w:rsidRPr="00E87D62" w:rsidRDefault="00491456" w:rsidP="00E87D62">
            <w:pPr>
              <w:pStyle w:val="TableText"/>
            </w:pPr>
            <w:r>
              <w:t>R4</w:t>
            </w:r>
          </w:p>
        </w:tc>
        <w:tc>
          <w:tcPr>
            <w:tcW w:w="1844" w:type="dxa"/>
            <w:vAlign w:val="bottom"/>
          </w:tcPr>
          <w:p w:rsidR="00491456" w:rsidRPr="00E87D62" w:rsidRDefault="003676E9" w:rsidP="00E87D62">
            <w:pPr>
              <w:pStyle w:val="TableText"/>
            </w:pPr>
            <w:r>
              <w:t>S0/0</w:t>
            </w:r>
            <w:r w:rsidR="00491456">
              <w:t>/1</w:t>
            </w:r>
          </w:p>
        </w:tc>
        <w:tc>
          <w:tcPr>
            <w:tcW w:w="1672" w:type="dxa"/>
            <w:vAlign w:val="bottom"/>
          </w:tcPr>
          <w:p w:rsidR="00491456" w:rsidRPr="00E87D62" w:rsidRDefault="00491456" w:rsidP="00E54ED6">
            <w:pPr>
              <w:pStyle w:val="TableText"/>
            </w:pPr>
            <w:r>
              <w:t>64.100.34.30</w:t>
            </w:r>
          </w:p>
        </w:tc>
        <w:tc>
          <w:tcPr>
            <w:tcW w:w="1760" w:type="dxa"/>
            <w:vAlign w:val="bottom"/>
          </w:tcPr>
          <w:p w:rsidR="00491456" w:rsidRPr="00E87D62" w:rsidRDefault="00491456" w:rsidP="00E54ED6">
            <w:pPr>
              <w:pStyle w:val="TableText"/>
            </w:pPr>
            <w:r w:rsidRPr="00E87D62">
              <w:t>255.255.255.252</w:t>
            </w:r>
          </w:p>
        </w:tc>
        <w:tc>
          <w:tcPr>
            <w:tcW w:w="1866" w:type="dxa"/>
            <w:vAlign w:val="bottom"/>
          </w:tcPr>
          <w:p w:rsidR="00491456" w:rsidRPr="00E87D62" w:rsidRDefault="00491456" w:rsidP="00E54ED6">
            <w:pPr>
              <w:pStyle w:val="TableText"/>
            </w:pPr>
            <w:r>
              <w:t>64.100.34.29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94229E">
        <w:t>Diagnose and Repair the Physical Layer</w:t>
      </w:r>
    </w:p>
    <w:p w:rsidR="006E6581" w:rsidRDefault="00A8310E" w:rsidP="006E6581">
      <w:pPr>
        <w:pStyle w:val="BodyTextL25Bold"/>
      </w:pPr>
      <w:r>
        <w:t xml:space="preserve">Part </w:t>
      </w:r>
      <w:r w:rsidR="00FB4D6E">
        <w:t xml:space="preserve">2: Diagnose and Repair the Data </w:t>
      </w:r>
      <w:r>
        <w:t>Link Layer</w:t>
      </w:r>
    </w:p>
    <w:p w:rsidR="006E6581" w:rsidRPr="006E6581" w:rsidRDefault="00A8310E" w:rsidP="00A8310E">
      <w:pPr>
        <w:pStyle w:val="BodyTextL25Bold"/>
      </w:pPr>
      <w:r>
        <w:t>Part 3: Diagnose and Repair the Network Layer</w:t>
      </w:r>
    </w:p>
    <w:p w:rsidR="00C07FD9" w:rsidRPr="00C07FD9" w:rsidRDefault="00672919" w:rsidP="00056981">
      <w:pPr>
        <w:pStyle w:val="LabSection"/>
        <w:numPr>
          <w:ilvl w:val="0"/>
          <w:numId w:val="0"/>
        </w:numPr>
      </w:pPr>
      <w:r>
        <w:t>Scenario</w:t>
      </w:r>
    </w:p>
    <w:p w:rsidR="008D7F09" w:rsidRDefault="00056981" w:rsidP="00056981">
      <w:pPr>
        <w:pStyle w:val="BodyTextL25"/>
      </w:pPr>
      <w:r>
        <w:t>You have been asked to troubleshoot WAN connections for a local telephone company (</w:t>
      </w:r>
      <w:r w:rsidRPr="00056981">
        <w:rPr>
          <w:b/>
        </w:rPr>
        <w:t>Telco</w:t>
      </w:r>
      <w:r>
        <w:t>)</w:t>
      </w:r>
      <w:r w:rsidR="005E65B5">
        <w:t>.</w:t>
      </w:r>
      <w:r w:rsidR="00CF4567">
        <w:t xml:space="preserve"> </w:t>
      </w:r>
      <w:r>
        <w:t xml:space="preserve">The Telco router </w:t>
      </w:r>
      <w:r w:rsidR="00FB4D6E">
        <w:t>should</w:t>
      </w:r>
      <w:r>
        <w:t xml:space="preserve"> communicate with four remote sites, but none of them are working. Use your knowledge of the OSI model and a few general rules to identify and repair the errors in the network.</w:t>
      </w:r>
    </w:p>
    <w:p w:rsidR="00112AC5" w:rsidRDefault="00CF4567" w:rsidP="00CF4567">
      <w:pPr>
        <w:pStyle w:val="PartHead"/>
      </w:pPr>
      <w:r>
        <w:lastRenderedPageBreak/>
        <w:t xml:space="preserve">Diagnose and </w:t>
      </w:r>
      <w:r w:rsidR="00056981">
        <w:t>Repair the Physical Layer</w:t>
      </w:r>
    </w:p>
    <w:p w:rsidR="00112AC5" w:rsidRDefault="006167FB" w:rsidP="00787CC1">
      <w:pPr>
        <w:pStyle w:val="StepHead"/>
      </w:pPr>
      <w:r>
        <w:t>Diagnose and r</w:t>
      </w:r>
      <w:r w:rsidR="00CF4567">
        <w:t xml:space="preserve">epair the </w:t>
      </w:r>
      <w:r>
        <w:t>c</w:t>
      </w:r>
      <w:r w:rsidR="00CF4567">
        <w:t>abling</w:t>
      </w:r>
      <w:r w:rsidR="00A807C1">
        <w:t>.</w:t>
      </w:r>
    </w:p>
    <w:p w:rsidR="00CF4567" w:rsidRDefault="00CF4567" w:rsidP="00CF4567">
      <w:pPr>
        <w:pStyle w:val="SubStepAlpha"/>
      </w:pPr>
      <w:r>
        <w:t>Examine the Addressing Table to determine the location of the DCE connections.</w:t>
      </w:r>
    </w:p>
    <w:p w:rsidR="00112AC5" w:rsidRDefault="00CF4567" w:rsidP="00CF4567">
      <w:pPr>
        <w:pStyle w:val="SubStepAlpha"/>
      </w:pPr>
      <w:r>
        <w:t xml:space="preserve">Each serial connection has a DCE and a DTE connection. </w:t>
      </w:r>
      <w:r w:rsidR="00961380">
        <w:t xml:space="preserve">To determine if each </w:t>
      </w:r>
      <w:r w:rsidR="00961380" w:rsidRPr="00961380">
        <w:rPr>
          <w:b/>
        </w:rPr>
        <w:t>Telco</w:t>
      </w:r>
      <w:r w:rsidR="00961380">
        <w:t xml:space="preserve"> interface is using the correct end of the cable look on the third line of output</w:t>
      </w:r>
      <w:r w:rsidR="00584C10">
        <w:t xml:space="preserve"> following</w:t>
      </w:r>
      <w:r w:rsidR="00961380">
        <w:t xml:space="preserve"> the </w:t>
      </w:r>
      <w:r w:rsidR="00961380" w:rsidRPr="00FB4D6E">
        <w:rPr>
          <w:b/>
        </w:rPr>
        <w:t>show controllers</w:t>
      </w:r>
      <w:r w:rsidR="00961380">
        <w:t xml:space="preserve"> </w:t>
      </w:r>
      <w:r>
        <w:t>command</w:t>
      </w:r>
      <w:r w:rsidR="00464214">
        <w:t>.</w:t>
      </w:r>
    </w:p>
    <w:p w:rsidR="00464214" w:rsidRDefault="00464214" w:rsidP="00961380">
      <w:pPr>
        <w:pStyle w:val="CMD"/>
      </w:pPr>
      <w:r>
        <w:t xml:space="preserve">Telco# </w:t>
      </w:r>
      <w:r w:rsidRPr="00FE5AAD">
        <w:rPr>
          <w:b/>
        </w:rPr>
        <w:t>show controllers</w:t>
      </w:r>
      <w:r>
        <w:t xml:space="preserve"> </w:t>
      </w:r>
      <w:r w:rsidR="00E54ED6" w:rsidRPr="00E54ED6">
        <w:t>[</w:t>
      </w:r>
      <w:proofErr w:type="spellStart"/>
      <w:r w:rsidR="00E54ED6" w:rsidRPr="00FB4D6E">
        <w:rPr>
          <w:i/>
        </w:rPr>
        <w:t>interface_type</w:t>
      </w:r>
      <w:proofErr w:type="spellEnd"/>
      <w:r w:rsidR="00E54ED6" w:rsidRPr="00FB4D6E">
        <w:rPr>
          <w:i/>
        </w:rPr>
        <w:t xml:space="preserve"> </w:t>
      </w:r>
      <w:proofErr w:type="spellStart"/>
      <w:r w:rsidR="00E54ED6" w:rsidRPr="00FB4D6E">
        <w:rPr>
          <w:i/>
        </w:rPr>
        <w:t>interface_num</w:t>
      </w:r>
      <w:proofErr w:type="spellEnd"/>
      <w:r w:rsidR="00E54ED6" w:rsidRPr="00E54ED6">
        <w:t>]</w:t>
      </w:r>
    </w:p>
    <w:p w:rsidR="00F60503" w:rsidRDefault="00961380" w:rsidP="00494E8D">
      <w:pPr>
        <w:pStyle w:val="SubStepAlpha"/>
      </w:pPr>
      <w:r>
        <w:t>Reverse any cables that are incorrectly connected.</w:t>
      </w:r>
    </w:p>
    <w:p w:rsidR="003E48C2" w:rsidRPr="00583F9C" w:rsidRDefault="003E48C2" w:rsidP="003E48C2">
      <w:pPr>
        <w:pStyle w:val="InstNoteRedL50"/>
        <w:rPr>
          <w:color w:val="000000" w:themeColor="text1"/>
        </w:rPr>
      </w:pPr>
      <w:r w:rsidRPr="00583F9C">
        <w:rPr>
          <w:b/>
          <w:color w:val="000000" w:themeColor="text1"/>
        </w:rPr>
        <w:t>Note</w:t>
      </w:r>
      <w:r w:rsidRPr="00583F9C">
        <w:rPr>
          <w:color w:val="000000" w:themeColor="text1"/>
        </w:rPr>
        <w:t xml:space="preserve">: In </w:t>
      </w:r>
      <w:r w:rsidR="00583F9C">
        <w:rPr>
          <w:color w:val="000000" w:themeColor="text1"/>
        </w:rPr>
        <w:t>real network settings</w:t>
      </w:r>
      <w:r w:rsidRPr="00583F9C">
        <w:rPr>
          <w:color w:val="000000" w:themeColor="text1"/>
        </w:rPr>
        <w:t xml:space="preserve">, the </w:t>
      </w:r>
      <w:r w:rsidR="00130CF0" w:rsidRPr="00583F9C">
        <w:rPr>
          <w:color w:val="000000" w:themeColor="text1"/>
        </w:rPr>
        <w:t xml:space="preserve">DCE (which sets the </w:t>
      </w:r>
      <w:r w:rsidRPr="00583F9C">
        <w:rPr>
          <w:color w:val="000000" w:themeColor="text1"/>
        </w:rPr>
        <w:t>clock rate</w:t>
      </w:r>
      <w:r w:rsidR="00130CF0" w:rsidRPr="00583F9C">
        <w:rPr>
          <w:color w:val="000000" w:themeColor="text1"/>
        </w:rPr>
        <w:t>)</w:t>
      </w:r>
      <w:r w:rsidR="00FB4D6E">
        <w:rPr>
          <w:color w:val="000000" w:themeColor="text1"/>
        </w:rPr>
        <w:t xml:space="preserve"> is typically a CSU/</w:t>
      </w:r>
      <w:r w:rsidRPr="00583F9C">
        <w:rPr>
          <w:color w:val="000000" w:themeColor="text1"/>
        </w:rPr>
        <w:t>DSU.</w:t>
      </w:r>
    </w:p>
    <w:p w:rsidR="00112AC5" w:rsidRDefault="006167FB" w:rsidP="00787CC1">
      <w:pPr>
        <w:pStyle w:val="StepHead"/>
      </w:pPr>
      <w:r>
        <w:t>Diagnose and r</w:t>
      </w:r>
      <w:r w:rsidR="0067389F">
        <w:t xml:space="preserve">epair </w:t>
      </w:r>
      <w:r>
        <w:t>incorrect p</w:t>
      </w:r>
      <w:r w:rsidR="00A8310E">
        <w:t>ort</w:t>
      </w:r>
      <w:r>
        <w:t xml:space="preserve"> connections</w:t>
      </w:r>
      <w:r w:rsidR="00112AC5">
        <w:t>.</w:t>
      </w:r>
    </w:p>
    <w:p w:rsidR="00112AC5" w:rsidRDefault="008C0C18" w:rsidP="00A46F25">
      <w:pPr>
        <w:pStyle w:val="SubStepAlpha"/>
      </w:pPr>
      <w:r>
        <w:t xml:space="preserve">Examine the Addressing Table to match each router port with the correct </w:t>
      </w:r>
      <w:r>
        <w:rPr>
          <w:b/>
        </w:rPr>
        <w:t xml:space="preserve">Telco </w:t>
      </w:r>
      <w:r>
        <w:t>port.</w:t>
      </w:r>
    </w:p>
    <w:p w:rsidR="00112AC5" w:rsidRDefault="008C0C18" w:rsidP="008C0C18">
      <w:pPr>
        <w:pStyle w:val="SubStepAlpha"/>
      </w:pPr>
      <w:r>
        <w:t xml:space="preserve">Hold the mouse over each wire to ensure that the wires are connected as </w:t>
      </w:r>
      <w:r w:rsidR="00200217">
        <w:t>specified. If not, correct the connections</w:t>
      </w:r>
      <w:r>
        <w:t>.</w:t>
      </w:r>
    </w:p>
    <w:p w:rsidR="00242E3A" w:rsidRPr="00242E3A" w:rsidRDefault="008C0C18" w:rsidP="00193F14">
      <w:pPr>
        <w:pStyle w:val="StepHead"/>
      </w:pPr>
      <w:r>
        <w:t>Diagnose and repair ports that are shutdown.</w:t>
      </w:r>
    </w:p>
    <w:p w:rsidR="00112AC5" w:rsidRDefault="008C0C18" w:rsidP="00F25ABB">
      <w:pPr>
        <w:pStyle w:val="SubStepAlpha"/>
      </w:pPr>
      <w:r>
        <w:t>Show a</w:t>
      </w:r>
      <w:r w:rsidR="00057F39">
        <w:t xml:space="preserve"> brief</w:t>
      </w:r>
      <w:r>
        <w:t xml:space="preserve"> interface</w:t>
      </w:r>
      <w:r w:rsidR="00057F39">
        <w:t xml:space="preserve"> summary of each router</w:t>
      </w:r>
      <w:r>
        <w:t>.</w:t>
      </w:r>
      <w:r w:rsidR="00057F39">
        <w:t xml:space="preserve"> Ensure that all of the ports that should be working are not administratively down.</w:t>
      </w:r>
      <w:r w:rsidR="0015737F">
        <w:t xml:space="preserve"> </w:t>
      </w:r>
    </w:p>
    <w:p w:rsidR="00991666" w:rsidRPr="00494E8D" w:rsidRDefault="00057F39" w:rsidP="00494E8D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Enable the appropriate ports</w:t>
      </w:r>
      <w:r w:rsidR="00FB4D6E">
        <w:t xml:space="preserve"> that are administratively down:</w:t>
      </w:r>
    </w:p>
    <w:p w:rsidR="00112AC5" w:rsidRDefault="00FB4D6E" w:rsidP="00440CF9">
      <w:pPr>
        <w:pStyle w:val="PartHead"/>
      </w:pPr>
      <w:r>
        <w:t xml:space="preserve">Diagnose and Repair the Data </w:t>
      </w:r>
      <w:r w:rsidR="00440CF9">
        <w:t>Link Layer</w:t>
      </w:r>
    </w:p>
    <w:p w:rsidR="00C07FD9" w:rsidRPr="00C07FD9" w:rsidRDefault="00440CF9" w:rsidP="00C07FD9">
      <w:pPr>
        <w:pStyle w:val="StepHead"/>
      </w:pPr>
      <w:r>
        <w:t>Examine and set clock rates on DCE equipment</w:t>
      </w:r>
      <w:r w:rsidR="00112AC5" w:rsidRPr="00933F28">
        <w:t>.</w:t>
      </w:r>
    </w:p>
    <w:p w:rsidR="00C07FD9" w:rsidRDefault="00440CF9" w:rsidP="00C07FD9">
      <w:pPr>
        <w:pStyle w:val="SubStepAlpha"/>
      </w:pPr>
      <w:r>
        <w:t xml:space="preserve">All of the DCE cables should be connected to </w:t>
      </w:r>
      <w:r w:rsidRPr="00440CF9">
        <w:rPr>
          <w:b/>
        </w:rPr>
        <w:t>Telco</w:t>
      </w:r>
      <w:r>
        <w:t xml:space="preserve">. Show the running configuration of </w:t>
      </w:r>
      <w:r w:rsidRPr="00440CF9">
        <w:rPr>
          <w:b/>
        </w:rPr>
        <w:t>Telco</w:t>
      </w:r>
      <w:r>
        <w:t xml:space="preserve"> to verify that a clock rate has been set on each interface.</w:t>
      </w:r>
    </w:p>
    <w:p w:rsidR="008B683E" w:rsidRPr="00494E8D" w:rsidRDefault="00440CF9" w:rsidP="00494E8D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Set the clock rate of any serial interface</w:t>
      </w:r>
      <w:r w:rsidR="003676E9">
        <w:t>s</w:t>
      </w:r>
      <w:r>
        <w:t xml:space="preserve"> that </w:t>
      </w:r>
      <w:r w:rsidR="00FB4D6E">
        <w:t>requires it:</w:t>
      </w:r>
    </w:p>
    <w:p w:rsidR="00905C18" w:rsidRPr="00C07FD9" w:rsidRDefault="00905C18" w:rsidP="00905C18">
      <w:pPr>
        <w:pStyle w:val="StepHead"/>
      </w:pPr>
      <w:r>
        <w:t>Examine the encapsulation on DCE equipment</w:t>
      </w:r>
      <w:r w:rsidRPr="00933F28">
        <w:t>.</w:t>
      </w:r>
    </w:p>
    <w:p w:rsidR="00905C18" w:rsidRDefault="00905C18" w:rsidP="00905C18">
      <w:pPr>
        <w:pStyle w:val="SubStepAlpha"/>
      </w:pPr>
      <w:r>
        <w:t>All of the serial interfaces should be using HDLC as the encapsulation type. Examine the protocol setting of the serial interfaces.</w:t>
      </w:r>
    </w:p>
    <w:p w:rsidR="00905C18" w:rsidRDefault="00905C18" w:rsidP="00905C18">
      <w:pPr>
        <w:pStyle w:val="CMD"/>
      </w:pPr>
      <w:r>
        <w:t xml:space="preserve">Telco# </w:t>
      </w:r>
      <w:r w:rsidRPr="00FE5AAD">
        <w:rPr>
          <w:b/>
        </w:rPr>
        <w:t>show interface</w:t>
      </w:r>
      <w:r>
        <w:t xml:space="preserve"> </w:t>
      </w:r>
      <w:r w:rsidR="0015737F" w:rsidRPr="00E54ED6">
        <w:t>[</w:t>
      </w:r>
      <w:proofErr w:type="spellStart"/>
      <w:r w:rsidR="0015737F" w:rsidRPr="00FB4D6E">
        <w:rPr>
          <w:i/>
        </w:rPr>
        <w:t>interface_type</w:t>
      </w:r>
      <w:proofErr w:type="spellEnd"/>
      <w:r w:rsidR="0015737F" w:rsidRPr="00FB4D6E">
        <w:rPr>
          <w:i/>
        </w:rPr>
        <w:t xml:space="preserve"> </w:t>
      </w:r>
      <w:proofErr w:type="spellStart"/>
      <w:r w:rsidR="0015737F" w:rsidRPr="00FB4D6E">
        <w:rPr>
          <w:i/>
        </w:rPr>
        <w:t>interface_num</w:t>
      </w:r>
      <w:proofErr w:type="spellEnd"/>
      <w:r w:rsidR="0015737F" w:rsidRPr="00E54ED6">
        <w:t>]</w:t>
      </w:r>
    </w:p>
    <w:p w:rsidR="00E4483C" w:rsidRPr="00494E8D" w:rsidRDefault="00905C18" w:rsidP="00494E8D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Change the encapsulation type to HDLC for any </w:t>
      </w:r>
      <w:r w:rsidR="00FB4D6E">
        <w:t>interface that is set otherwise:</w:t>
      </w:r>
    </w:p>
    <w:p w:rsidR="006F2A86" w:rsidRPr="004C0909" w:rsidRDefault="0015271E" w:rsidP="00CA73D5">
      <w:pPr>
        <w:pStyle w:val="PartHead"/>
      </w:pPr>
      <w:r>
        <w:t xml:space="preserve">Diagnose and Repair the </w:t>
      </w:r>
      <w:r w:rsidR="00A8310E">
        <w:t>Network</w:t>
      </w:r>
      <w:r>
        <w:t xml:space="preserve"> Layer</w:t>
      </w:r>
    </w:p>
    <w:p w:rsidR="006F2A86" w:rsidRDefault="0015271E" w:rsidP="0015271E">
      <w:pPr>
        <w:pStyle w:val="StepHead"/>
      </w:pPr>
      <w:r>
        <w:t>Verify the IP addressing</w:t>
      </w:r>
      <w:r w:rsidR="006F2A86">
        <w:t>.</w:t>
      </w:r>
    </w:p>
    <w:p w:rsidR="00D139C8" w:rsidRDefault="0015271E" w:rsidP="00A60146">
      <w:pPr>
        <w:pStyle w:val="SubStepAlpha"/>
      </w:pPr>
      <w:r>
        <w:t>Show a brief interface summary of each router. Check the IP addresses against the Addressing Table and ensure that they are in the correct subnet with their connecting interface.</w:t>
      </w:r>
    </w:p>
    <w:p w:rsidR="00F22C22" w:rsidRPr="00494E8D" w:rsidRDefault="001422BC" w:rsidP="00494E8D">
      <w:pPr>
        <w:pStyle w:val="SubStepAlpha"/>
        <w:rPr>
          <w:rStyle w:val="DevConfigGray"/>
          <w:rFonts w:ascii="Arial" w:hAnsi="Arial"/>
          <w:shd w:val="clear" w:color="auto" w:fill="auto"/>
        </w:rPr>
      </w:pPr>
      <w:r w:rsidRPr="001422BC">
        <w:t>Correct any IP addresses that overlap, or are set t</w:t>
      </w:r>
      <w:r w:rsidR="00FB4D6E">
        <w:t>o the host or broadcast address:</w:t>
      </w:r>
    </w:p>
    <w:p w:rsidR="00593A4E" w:rsidRPr="006A5152" w:rsidRDefault="001422BC" w:rsidP="00593A4E">
      <w:pPr>
        <w:pStyle w:val="StepHead"/>
      </w:pPr>
      <w:r w:rsidRPr="001422BC">
        <w:t xml:space="preserve">Verify </w:t>
      </w:r>
      <w:r w:rsidR="0015737F">
        <w:t>connectivity between all routers.</w:t>
      </w:r>
    </w:p>
    <w:sectPr w:rsidR="00593A4E" w:rsidRPr="006A5152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068" w:rsidRDefault="00EC5068" w:rsidP="0090659A">
      <w:pPr>
        <w:spacing w:after="0" w:line="240" w:lineRule="auto"/>
      </w:pPr>
      <w:r>
        <w:separator/>
      </w:r>
    </w:p>
    <w:p w:rsidR="00EC5068" w:rsidRDefault="00EC5068"/>
    <w:p w:rsidR="00EC5068" w:rsidRDefault="00EC5068"/>
    <w:p w:rsidR="00EC5068" w:rsidRDefault="00EC5068"/>
    <w:p w:rsidR="00EC5068" w:rsidRDefault="00EC5068"/>
  </w:endnote>
  <w:endnote w:type="continuationSeparator" w:id="0">
    <w:p w:rsidR="00EC5068" w:rsidRDefault="00EC5068" w:rsidP="0090659A">
      <w:pPr>
        <w:spacing w:after="0" w:line="240" w:lineRule="auto"/>
      </w:pPr>
      <w:r>
        <w:continuationSeparator/>
      </w:r>
    </w:p>
    <w:p w:rsidR="00EC5068" w:rsidRDefault="00EC5068"/>
    <w:p w:rsidR="00EC5068" w:rsidRDefault="00EC5068"/>
    <w:p w:rsidR="00EC5068" w:rsidRDefault="00EC5068"/>
    <w:p w:rsidR="00EC5068" w:rsidRDefault="00EC50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ED6" w:rsidRPr="0090659A" w:rsidRDefault="00E54ED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06F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06F79" w:rsidRPr="0090659A">
      <w:rPr>
        <w:b/>
        <w:szCs w:val="16"/>
      </w:rPr>
      <w:fldChar w:fldCharType="separate"/>
    </w:r>
    <w:r w:rsidR="00494E8D">
      <w:rPr>
        <w:b/>
        <w:noProof/>
        <w:szCs w:val="16"/>
      </w:rPr>
      <w:t>2</w:t>
    </w:r>
    <w:r w:rsidR="00006F7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06F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06F79" w:rsidRPr="0090659A">
      <w:rPr>
        <w:b/>
        <w:szCs w:val="16"/>
      </w:rPr>
      <w:fldChar w:fldCharType="separate"/>
    </w:r>
    <w:r w:rsidR="00494E8D">
      <w:rPr>
        <w:b/>
        <w:noProof/>
        <w:szCs w:val="16"/>
      </w:rPr>
      <w:t>2</w:t>
    </w:r>
    <w:r w:rsidR="00006F7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ED6" w:rsidRPr="0090659A" w:rsidRDefault="00E54ED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06F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06F79" w:rsidRPr="0090659A">
      <w:rPr>
        <w:b/>
        <w:szCs w:val="16"/>
      </w:rPr>
      <w:fldChar w:fldCharType="separate"/>
    </w:r>
    <w:r w:rsidR="00494E8D">
      <w:rPr>
        <w:b/>
        <w:noProof/>
        <w:szCs w:val="16"/>
      </w:rPr>
      <w:t>1</w:t>
    </w:r>
    <w:r w:rsidR="00006F7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06F7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06F79" w:rsidRPr="0090659A">
      <w:rPr>
        <w:b/>
        <w:szCs w:val="16"/>
      </w:rPr>
      <w:fldChar w:fldCharType="separate"/>
    </w:r>
    <w:r w:rsidR="00494E8D">
      <w:rPr>
        <w:b/>
        <w:noProof/>
        <w:szCs w:val="16"/>
      </w:rPr>
      <w:t>2</w:t>
    </w:r>
    <w:r w:rsidR="00006F7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068" w:rsidRDefault="00EC5068" w:rsidP="0090659A">
      <w:pPr>
        <w:spacing w:after="0" w:line="240" w:lineRule="auto"/>
      </w:pPr>
      <w:r>
        <w:separator/>
      </w:r>
    </w:p>
    <w:p w:rsidR="00EC5068" w:rsidRDefault="00EC5068"/>
    <w:p w:rsidR="00EC5068" w:rsidRDefault="00EC5068"/>
    <w:p w:rsidR="00EC5068" w:rsidRDefault="00EC5068"/>
    <w:p w:rsidR="00EC5068" w:rsidRDefault="00EC5068"/>
  </w:footnote>
  <w:footnote w:type="continuationSeparator" w:id="0">
    <w:p w:rsidR="00EC5068" w:rsidRDefault="00EC5068" w:rsidP="0090659A">
      <w:pPr>
        <w:spacing w:after="0" w:line="240" w:lineRule="auto"/>
      </w:pPr>
      <w:r>
        <w:continuationSeparator/>
      </w:r>
    </w:p>
    <w:p w:rsidR="00EC5068" w:rsidRDefault="00EC5068"/>
    <w:p w:rsidR="00EC5068" w:rsidRDefault="00EC5068"/>
    <w:p w:rsidR="00EC5068" w:rsidRDefault="00EC5068"/>
    <w:p w:rsidR="00EC5068" w:rsidRDefault="00EC506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ED6" w:rsidRDefault="00E54ED6" w:rsidP="00C52BA6">
    <w:pPr>
      <w:pStyle w:val="PageHead"/>
    </w:pPr>
    <w:r>
      <w:t>Packet Tracer –</w:t>
    </w:r>
    <w:r w:rsidRPr="00FD4A68">
      <w:t xml:space="preserve"> </w:t>
    </w:r>
    <w:r>
      <w:t>Troubleshooting Serial Interfaces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ED6" w:rsidRDefault="00E54ED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05F2C"/>
    <w:rsid w:val="00006F79"/>
    <w:rsid w:val="00010EA0"/>
    <w:rsid w:val="000160F7"/>
    <w:rsid w:val="00016D5B"/>
    <w:rsid w:val="00016F30"/>
    <w:rsid w:val="0002047C"/>
    <w:rsid w:val="00021B9A"/>
    <w:rsid w:val="000242D6"/>
    <w:rsid w:val="00024EE5"/>
    <w:rsid w:val="00031E8F"/>
    <w:rsid w:val="00041AF6"/>
    <w:rsid w:val="00044E62"/>
    <w:rsid w:val="00050BA4"/>
    <w:rsid w:val="00051738"/>
    <w:rsid w:val="00052548"/>
    <w:rsid w:val="00056981"/>
    <w:rsid w:val="00057F39"/>
    <w:rsid w:val="00060696"/>
    <w:rsid w:val="00067E1A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6ADA"/>
    <w:rsid w:val="000E65F0"/>
    <w:rsid w:val="000F072C"/>
    <w:rsid w:val="000F6743"/>
    <w:rsid w:val="00107B2B"/>
    <w:rsid w:val="00112AC5"/>
    <w:rsid w:val="001133DD"/>
    <w:rsid w:val="00120CBE"/>
    <w:rsid w:val="00124B00"/>
    <w:rsid w:val="00130CF0"/>
    <w:rsid w:val="001366EC"/>
    <w:rsid w:val="0014219C"/>
    <w:rsid w:val="001422BC"/>
    <w:rsid w:val="001425ED"/>
    <w:rsid w:val="0015271E"/>
    <w:rsid w:val="00154E3A"/>
    <w:rsid w:val="0015737F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6CA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0217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1B59"/>
    <w:rsid w:val="00275BF4"/>
    <w:rsid w:val="002768DC"/>
    <w:rsid w:val="0028007C"/>
    <w:rsid w:val="002A6C56"/>
    <w:rsid w:val="002A6D1F"/>
    <w:rsid w:val="002C090C"/>
    <w:rsid w:val="002C1243"/>
    <w:rsid w:val="002C1815"/>
    <w:rsid w:val="002C475E"/>
    <w:rsid w:val="002C6AD6"/>
    <w:rsid w:val="002D6C2A"/>
    <w:rsid w:val="002D7A86"/>
    <w:rsid w:val="002E7852"/>
    <w:rsid w:val="002F218F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676E9"/>
    <w:rsid w:val="00392C65"/>
    <w:rsid w:val="00392ED5"/>
    <w:rsid w:val="003A19DC"/>
    <w:rsid w:val="003A1B45"/>
    <w:rsid w:val="003B46FC"/>
    <w:rsid w:val="003B5767"/>
    <w:rsid w:val="003B7605"/>
    <w:rsid w:val="003B7B3E"/>
    <w:rsid w:val="003C3236"/>
    <w:rsid w:val="003C418F"/>
    <w:rsid w:val="003C6BCA"/>
    <w:rsid w:val="003C7902"/>
    <w:rsid w:val="003D0BFF"/>
    <w:rsid w:val="003E48C2"/>
    <w:rsid w:val="003E5BE5"/>
    <w:rsid w:val="003E7977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0CF9"/>
    <w:rsid w:val="00444217"/>
    <w:rsid w:val="004478F4"/>
    <w:rsid w:val="00450F7A"/>
    <w:rsid w:val="00452C6D"/>
    <w:rsid w:val="00455E0B"/>
    <w:rsid w:val="004567F8"/>
    <w:rsid w:val="00460BAD"/>
    <w:rsid w:val="00464214"/>
    <w:rsid w:val="004659EE"/>
    <w:rsid w:val="00491456"/>
    <w:rsid w:val="004936C2"/>
    <w:rsid w:val="0049379C"/>
    <w:rsid w:val="00494E8D"/>
    <w:rsid w:val="004A1CA0"/>
    <w:rsid w:val="004A22E9"/>
    <w:rsid w:val="004A5BC5"/>
    <w:rsid w:val="004B023D"/>
    <w:rsid w:val="004B4CF5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82D"/>
    <w:rsid w:val="00570A65"/>
    <w:rsid w:val="00574C4D"/>
    <w:rsid w:val="005762B1"/>
    <w:rsid w:val="00580456"/>
    <w:rsid w:val="00580E73"/>
    <w:rsid w:val="00583F9C"/>
    <w:rsid w:val="00584C10"/>
    <w:rsid w:val="00593386"/>
    <w:rsid w:val="00593A4E"/>
    <w:rsid w:val="00594848"/>
    <w:rsid w:val="00596998"/>
    <w:rsid w:val="005A6E62"/>
    <w:rsid w:val="005D2B29"/>
    <w:rsid w:val="005D354A"/>
    <w:rsid w:val="005D479B"/>
    <w:rsid w:val="005E3235"/>
    <w:rsid w:val="005E4176"/>
    <w:rsid w:val="005E65B5"/>
    <w:rsid w:val="005F3AE9"/>
    <w:rsid w:val="006007BB"/>
    <w:rsid w:val="00601DC0"/>
    <w:rsid w:val="006034CB"/>
    <w:rsid w:val="006131CE"/>
    <w:rsid w:val="006167FB"/>
    <w:rsid w:val="00617D6E"/>
    <w:rsid w:val="00621316"/>
    <w:rsid w:val="00622D61"/>
    <w:rsid w:val="00624198"/>
    <w:rsid w:val="006428E5"/>
    <w:rsid w:val="00644958"/>
    <w:rsid w:val="0066689D"/>
    <w:rsid w:val="00672919"/>
    <w:rsid w:val="0067389F"/>
    <w:rsid w:val="00677CBD"/>
    <w:rsid w:val="00686587"/>
    <w:rsid w:val="006904CF"/>
    <w:rsid w:val="00695EE2"/>
    <w:rsid w:val="0069660B"/>
    <w:rsid w:val="006A1B33"/>
    <w:rsid w:val="006A48F1"/>
    <w:rsid w:val="006A5152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066F2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1C0F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3E4C"/>
    <w:rsid w:val="007B5522"/>
    <w:rsid w:val="007C0753"/>
    <w:rsid w:val="007C0EE0"/>
    <w:rsid w:val="007C1B71"/>
    <w:rsid w:val="007C2FBB"/>
    <w:rsid w:val="007C7164"/>
    <w:rsid w:val="007D1984"/>
    <w:rsid w:val="007D2AFE"/>
    <w:rsid w:val="007D772A"/>
    <w:rsid w:val="007E3FEA"/>
    <w:rsid w:val="007F0A0B"/>
    <w:rsid w:val="007F3A60"/>
    <w:rsid w:val="007F3D0B"/>
    <w:rsid w:val="007F7C94"/>
    <w:rsid w:val="008054A2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6957"/>
    <w:rsid w:val="00890108"/>
    <w:rsid w:val="00893877"/>
    <w:rsid w:val="00893BEA"/>
    <w:rsid w:val="0089532C"/>
    <w:rsid w:val="00896681"/>
    <w:rsid w:val="008A1A6C"/>
    <w:rsid w:val="008A2749"/>
    <w:rsid w:val="008A3A90"/>
    <w:rsid w:val="008B06D4"/>
    <w:rsid w:val="008B4F20"/>
    <w:rsid w:val="008B683E"/>
    <w:rsid w:val="008B7FFD"/>
    <w:rsid w:val="008C0C18"/>
    <w:rsid w:val="008C2920"/>
    <w:rsid w:val="008C4307"/>
    <w:rsid w:val="008D23DF"/>
    <w:rsid w:val="008D73BF"/>
    <w:rsid w:val="008D7F09"/>
    <w:rsid w:val="008E3C9D"/>
    <w:rsid w:val="008E5B64"/>
    <w:rsid w:val="008E7DAA"/>
    <w:rsid w:val="008F0094"/>
    <w:rsid w:val="008F340F"/>
    <w:rsid w:val="00903523"/>
    <w:rsid w:val="00905C18"/>
    <w:rsid w:val="0090659A"/>
    <w:rsid w:val="00915986"/>
    <w:rsid w:val="00917624"/>
    <w:rsid w:val="00930386"/>
    <w:rsid w:val="009309F5"/>
    <w:rsid w:val="00933237"/>
    <w:rsid w:val="00933F28"/>
    <w:rsid w:val="0094229E"/>
    <w:rsid w:val="009476C0"/>
    <w:rsid w:val="00961380"/>
    <w:rsid w:val="00963E34"/>
    <w:rsid w:val="00964DFA"/>
    <w:rsid w:val="0098155C"/>
    <w:rsid w:val="00983B77"/>
    <w:rsid w:val="0098513F"/>
    <w:rsid w:val="00991666"/>
    <w:rsid w:val="00996053"/>
    <w:rsid w:val="009A0B2F"/>
    <w:rsid w:val="009A1CF4"/>
    <w:rsid w:val="009A37D7"/>
    <w:rsid w:val="009A4E17"/>
    <w:rsid w:val="009A652A"/>
    <w:rsid w:val="009A6955"/>
    <w:rsid w:val="009B341C"/>
    <w:rsid w:val="009B5747"/>
    <w:rsid w:val="009D2C27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310E"/>
    <w:rsid w:val="00A83374"/>
    <w:rsid w:val="00A96172"/>
    <w:rsid w:val="00AB0D6A"/>
    <w:rsid w:val="00AB43B3"/>
    <w:rsid w:val="00AB49B9"/>
    <w:rsid w:val="00AB5B64"/>
    <w:rsid w:val="00AB758A"/>
    <w:rsid w:val="00AC1E7E"/>
    <w:rsid w:val="00AC507D"/>
    <w:rsid w:val="00AC66E4"/>
    <w:rsid w:val="00AD4578"/>
    <w:rsid w:val="00AD68E9"/>
    <w:rsid w:val="00AE56C0"/>
    <w:rsid w:val="00AF62CC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4567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657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7CF"/>
    <w:rsid w:val="00DE6F44"/>
    <w:rsid w:val="00E037D9"/>
    <w:rsid w:val="00E130EB"/>
    <w:rsid w:val="00E162CD"/>
    <w:rsid w:val="00E17FA5"/>
    <w:rsid w:val="00E26930"/>
    <w:rsid w:val="00E27257"/>
    <w:rsid w:val="00E4483C"/>
    <w:rsid w:val="00E449D0"/>
    <w:rsid w:val="00E4506A"/>
    <w:rsid w:val="00E53F99"/>
    <w:rsid w:val="00E54ED6"/>
    <w:rsid w:val="00E56510"/>
    <w:rsid w:val="00E62EA8"/>
    <w:rsid w:val="00E67A6E"/>
    <w:rsid w:val="00E71B43"/>
    <w:rsid w:val="00E81612"/>
    <w:rsid w:val="00E87D18"/>
    <w:rsid w:val="00E87D62"/>
    <w:rsid w:val="00E948DB"/>
    <w:rsid w:val="00EA486E"/>
    <w:rsid w:val="00EA4FA3"/>
    <w:rsid w:val="00EB001B"/>
    <w:rsid w:val="00EB6C33"/>
    <w:rsid w:val="00EC5068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6F35"/>
    <w:rsid w:val="00F2229D"/>
    <w:rsid w:val="00F22C22"/>
    <w:rsid w:val="00F25ABB"/>
    <w:rsid w:val="00F27963"/>
    <w:rsid w:val="00F30446"/>
    <w:rsid w:val="00F4135D"/>
    <w:rsid w:val="00F41F1B"/>
    <w:rsid w:val="00F45CD1"/>
    <w:rsid w:val="00F46BD9"/>
    <w:rsid w:val="00F60503"/>
    <w:rsid w:val="00F60BE0"/>
    <w:rsid w:val="00F6280E"/>
    <w:rsid w:val="00F7050A"/>
    <w:rsid w:val="00F75533"/>
    <w:rsid w:val="00F76AA1"/>
    <w:rsid w:val="00FA3811"/>
    <w:rsid w:val="00FA3B9F"/>
    <w:rsid w:val="00FA3F06"/>
    <w:rsid w:val="00FA4A26"/>
    <w:rsid w:val="00FA7084"/>
    <w:rsid w:val="00FA7BEF"/>
    <w:rsid w:val="00FB1929"/>
    <w:rsid w:val="00FB4D6E"/>
    <w:rsid w:val="00FB5FD9"/>
    <w:rsid w:val="00FD33AB"/>
    <w:rsid w:val="00FD4537"/>
    <w:rsid w:val="00FD4724"/>
    <w:rsid w:val="00FD4A68"/>
    <w:rsid w:val="00FD68ED"/>
    <w:rsid w:val="00FE2824"/>
    <w:rsid w:val="00FE5AAD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E0A90F-B5B5-447D-A779-6D242AE3C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2013-10-22T21:45:00Z</dcterms:created>
  <dcterms:modified xsi:type="dcterms:W3CDTF">2013-10-22T21:53:00Z</dcterms:modified>
</cp:coreProperties>
</file>